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0559B" w14:textId="77777777" w:rsidR="006310BB" w:rsidRPr="006310BB" w:rsidRDefault="006310BB" w:rsidP="006310BB">
      <w:pPr>
        <w:spacing w:line="360" w:lineRule="auto"/>
        <w:jc w:val="center"/>
        <w:rPr>
          <w:rFonts w:ascii="Garamond" w:hAnsi="Garamond"/>
          <w:bCs/>
          <w:sz w:val="24"/>
          <w:szCs w:val="24"/>
        </w:rPr>
      </w:pPr>
      <w:r w:rsidRPr="006310BB">
        <w:rPr>
          <w:rFonts w:ascii="Garamond" w:hAnsi="Garamond"/>
          <w:bCs/>
          <w:sz w:val="24"/>
          <w:szCs w:val="24"/>
        </w:rPr>
        <w:t>-</w:t>
      </w:r>
      <w:r w:rsidRPr="006310BB">
        <w:rPr>
          <w:rFonts w:ascii="Garamond" w:hAnsi="Garamond"/>
          <w:b/>
          <w:sz w:val="24"/>
          <w:szCs w:val="24"/>
          <w:highlight w:val="lightGray"/>
          <w:u w:val="single"/>
        </w:rPr>
        <w:t>Sentença Arbitral</w:t>
      </w:r>
      <w:r w:rsidRPr="006310BB">
        <w:rPr>
          <w:rFonts w:ascii="Garamond" w:hAnsi="Garamond"/>
          <w:bCs/>
          <w:sz w:val="24"/>
          <w:szCs w:val="24"/>
        </w:rPr>
        <w:t>-</w:t>
      </w:r>
    </w:p>
    <w:p w14:paraId="37A109AE" w14:textId="4D936A9B" w:rsidR="006310BB" w:rsidRPr="006310BB" w:rsidRDefault="006310BB" w:rsidP="006310BB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b/>
          <w:sz w:val="24"/>
          <w:szCs w:val="24"/>
          <w:highlight w:val="lightGray"/>
        </w:rPr>
        <w:t xml:space="preserve">Processo de Arbitragem n.º </w:t>
      </w:r>
      <w:r w:rsidR="009C4893">
        <w:rPr>
          <w:rFonts w:ascii="Garamond" w:hAnsi="Garamond"/>
          <w:b/>
          <w:sz w:val="24"/>
          <w:szCs w:val="24"/>
          <w:highlight w:val="lightGray"/>
        </w:rPr>
        <w:t>1477</w:t>
      </w:r>
      <w:r w:rsidRPr="006310BB">
        <w:rPr>
          <w:rFonts w:ascii="Garamond" w:hAnsi="Garamond"/>
          <w:b/>
          <w:sz w:val="24"/>
          <w:szCs w:val="24"/>
          <w:highlight w:val="lightGray"/>
        </w:rPr>
        <w:t>_2026</w:t>
      </w:r>
      <w:r w:rsidRPr="006310BB">
        <w:rPr>
          <w:rFonts w:ascii="Garamond" w:hAnsi="Garamond"/>
          <w:sz w:val="24"/>
          <w:szCs w:val="24"/>
        </w:rPr>
        <w:t>.</w:t>
      </w:r>
    </w:p>
    <w:p w14:paraId="37FD210B" w14:textId="026DBCD7" w:rsidR="006310BB" w:rsidRPr="006310BB" w:rsidRDefault="006310BB" w:rsidP="006310BB">
      <w:pPr>
        <w:spacing w:line="360" w:lineRule="auto"/>
        <w:jc w:val="both"/>
        <w:rPr>
          <w:rFonts w:ascii="Garamond" w:hAnsi="Garamond"/>
          <w:bCs/>
          <w:sz w:val="24"/>
          <w:szCs w:val="24"/>
        </w:rPr>
      </w:pPr>
      <w:r w:rsidRPr="006310BB">
        <w:rPr>
          <w:rFonts w:ascii="Garamond" w:hAnsi="Garamond"/>
          <w:bCs/>
          <w:sz w:val="24"/>
          <w:szCs w:val="24"/>
        </w:rPr>
        <w:t xml:space="preserve">Demandante: </w:t>
      </w:r>
      <w:r w:rsidR="004D39D8">
        <w:rPr>
          <w:rFonts w:ascii="Garamond" w:hAnsi="Garamond"/>
          <w:b/>
          <w:sz w:val="24"/>
          <w:szCs w:val="24"/>
        </w:rPr>
        <w:t>A.</w:t>
      </w:r>
    </w:p>
    <w:p w14:paraId="04E96BC1" w14:textId="12CA3513" w:rsidR="006310BB" w:rsidRPr="006310BB" w:rsidRDefault="006310BB" w:rsidP="006310BB">
      <w:pPr>
        <w:spacing w:line="360" w:lineRule="auto"/>
        <w:jc w:val="both"/>
        <w:rPr>
          <w:rFonts w:ascii="Garamond" w:hAnsi="Garamond"/>
          <w:bCs/>
          <w:sz w:val="24"/>
          <w:szCs w:val="24"/>
        </w:rPr>
      </w:pPr>
      <w:r w:rsidRPr="006310BB">
        <w:rPr>
          <w:rFonts w:ascii="Garamond" w:hAnsi="Garamond"/>
          <w:bCs/>
          <w:sz w:val="24"/>
          <w:szCs w:val="24"/>
        </w:rPr>
        <w:t xml:space="preserve">Demandada: </w:t>
      </w:r>
      <w:r w:rsidR="004D39D8">
        <w:rPr>
          <w:rFonts w:ascii="Garamond" w:hAnsi="Garamond"/>
          <w:b/>
          <w:sz w:val="24"/>
          <w:szCs w:val="24"/>
        </w:rPr>
        <w:t>B.</w:t>
      </w:r>
    </w:p>
    <w:p w14:paraId="09D78CE7" w14:textId="496F8724" w:rsidR="006310BB" w:rsidRPr="006310BB" w:rsidRDefault="006310BB" w:rsidP="006310BB">
      <w:pPr>
        <w:suppressAutoHyphens/>
        <w:spacing w:before="240" w:after="0"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b/>
          <w:sz w:val="24"/>
          <w:szCs w:val="24"/>
          <w:highlight w:val="lightGray"/>
        </w:rPr>
        <w:t>Resumo da Sentença Arbitral</w:t>
      </w:r>
      <w:r w:rsidRPr="006310BB">
        <w:rPr>
          <w:rFonts w:ascii="Garamond" w:hAnsi="Garamond"/>
          <w:sz w:val="24"/>
          <w:szCs w:val="24"/>
        </w:rPr>
        <w:t xml:space="preserve"> (elaborado pelo árbitro): </w:t>
      </w:r>
      <w:r w:rsidR="00AE5F49">
        <w:rPr>
          <w:rFonts w:ascii="Garamond" w:hAnsi="Garamond"/>
          <w:sz w:val="24"/>
          <w:szCs w:val="24"/>
        </w:rPr>
        <w:t>Tendo</w:t>
      </w:r>
      <w:r w:rsidRPr="006310BB">
        <w:rPr>
          <w:rFonts w:ascii="Garamond" w:hAnsi="Garamond"/>
          <w:sz w:val="24"/>
          <w:szCs w:val="24"/>
        </w:rPr>
        <w:t xml:space="preserve"> o prestador de serviço público essencial cumprido os deveres legais de prestador de serviço público essencial de comunicações eletrónicas, previstas na Lei n.º23/96, de 26/07, designadamente o princípio geral da </w:t>
      </w:r>
      <w:r w:rsidRPr="006310BB">
        <w:rPr>
          <w:rFonts w:ascii="Garamond" w:hAnsi="Garamond"/>
          <w:i/>
          <w:iCs/>
          <w:sz w:val="24"/>
          <w:szCs w:val="24"/>
        </w:rPr>
        <w:t>“Boa-fé”</w:t>
      </w:r>
      <w:r w:rsidRPr="006310BB">
        <w:rPr>
          <w:rFonts w:ascii="Garamond" w:hAnsi="Garamond"/>
          <w:sz w:val="24"/>
          <w:szCs w:val="24"/>
        </w:rPr>
        <w:t xml:space="preserve"> e o </w:t>
      </w:r>
      <w:r w:rsidRPr="006310BB">
        <w:rPr>
          <w:rFonts w:ascii="Garamond" w:hAnsi="Garamond"/>
          <w:i/>
          <w:iCs/>
          <w:sz w:val="24"/>
          <w:szCs w:val="24"/>
        </w:rPr>
        <w:t>“Dever de Informação”,</w:t>
      </w:r>
      <w:r w:rsidRPr="006310BB">
        <w:rPr>
          <w:rFonts w:ascii="Garamond" w:hAnsi="Garamond"/>
          <w:sz w:val="24"/>
          <w:szCs w:val="24"/>
        </w:rPr>
        <w:t xml:space="preserve"> </w:t>
      </w:r>
      <w:r w:rsidR="00AE5F49">
        <w:rPr>
          <w:rFonts w:ascii="Garamond" w:hAnsi="Garamond"/>
          <w:sz w:val="24"/>
          <w:szCs w:val="24"/>
        </w:rPr>
        <w:t>não assiste razão ao demandante nos pedidos formulados nesta ação arbitral.</w:t>
      </w:r>
    </w:p>
    <w:p w14:paraId="2D453FD4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54AE6D8C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I. - Relatório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: </w:t>
      </w:r>
    </w:p>
    <w:p w14:paraId="42AD8347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A. - Das Partes e do Objeto da Ação Arbitral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15921875" w14:textId="7CC7D0B1" w:rsidR="006310BB" w:rsidRPr="006310BB" w:rsidRDefault="006310BB" w:rsidP="006310BB">
      <w:pPr>
        <w:spacing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O demandante </w:t>
      </w:r>
      <w:r w:rsidR="004D39D8">
        <w:rPr>
          <w:rFonts w:ascii="Garamond" w:hAnsi="Garamond"/>
          <w:b/>
          <w:sz w:val="24"/>
          <w:szCs w:val="24"/>
        </w:rPr>
        <w:t>A.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residente </w:t>
      </w:r>
      <w:r w:rsidR="004D39D8">
        <w:rPr>
          <w:rFonts w:ascii="Garamond" w:eastAsia="Times New Roman" w:hAnsi="Garamond"/>
          <w:sz w:val="24"/>
          <w:szCs w:val="24"/>
          <w:lang w:eastAsia="zh-CN"/>
        </w:rPr>
        <w:t>-------</w:t>
      </w:r>
      <w:r w:rsidR="00095DE9">
        <w:rPr>
          <w:rFonts w:ascii="Garamond" w:eastAsia="Times New Roman" w:hAnsi="Garamond"/>
          <w:sz w:val="24"/>
          <w:szCs w:val="24"/>
          <w:lang w:eastAsia="zh-CN"/>
        </w:rPr>
        <w:t>,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apresentou uma reclamação no </w:t>
      </w:r>
      <w:r w:rsidR="002A050C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CNIACC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à qual foi atribuída o número </w:t>
      </w:r>
      <w:r w:rsidR="00095DE9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1477</w:t>
      </w:r>
      <w:r w:rsidRPr="006310BB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_2026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contra a demandada </w:t>
      </w:r>
      <w:r w:rsidR="004D39D8">
        <w:rPr>
          <w:rFonts w:ascii="Garamond" w:eastAsia="Times New Roman" w:hAnsi="Garamond"/>
          <w:b/>
          <w:bCs/>
          <w:sz w:val="24"/>
          <w:szCs w:val="24"/>
          <w:lang w:eastAsia="zh-CN"/>
        </w:rPr>
        <w:t>B.</w:t>
      </w:r>
    </w:p>
    <w:p w14:paraId="20C0F5EE" w14:textId="77777777" w:rsidR="006310BB" w:rsidRPr="006310BB" w:rsidRDefault="006310BB" w:rsidP="006310BB">
      <w:pPr>
        <w:spacing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Tendo-se frustrado a possibilidade de celebração de um acordo entre as partes o processo prosseguiu, então, para a sua fase arbitral, por vontade expressa do demandante.</w:t>
      </w:r>
    </w:p>
    <w:p w14:paraId="25A7727F" w14:textId="77777777" w:rsidR="006310BB" w:rsidRPr="006310BB" w:rsidRDefault="006310BB" w:rsidP="006310BB">
      <w:pPr>
        <w:spacing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Por se tratar de arbitragem necessária, nos termos e para os efeitos do disposto no </w:t>
      </w:r>
      <w:r w:rsidRPr="006310BB">
        <w:rPr>
          <w:rFonts w:ascii="Garamond" w:eastAsia="Times New Roman" w:hAnsi="Garamond"/>
          <w:b/>
          <w:sz w:val="24"/>
          <w:szCs w:val="24"/>
          <w:lang w:eastAsia="zh-CN"/>
        </w:rPr>
        <w:t>artigo 15.º/1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, da Lei n.º23/96, de 27/09, na sua redação atualizada, compete a este tribunal julgar e decidir este litígio.</w:t>
      </w:r>
    </w:p>
    <w:p w14:paraId="23E02D1B" w14:textId="77777777" w:rsidR="006310BB" w:rsidRPr="006310BB" w:rsidRDefault="006310BB" w:rsidP="006310BB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A instância arbitral estabilizou-se, por isso, com as partes acima identificadas, não se tendo verificado qualquer modificação subjetiva decorrente da intervenção de novas partes a partir daquela data. </w:t>
      </w:r>
    </w:p>
    <w:p w14:paraId="6A2F3CC6" w14:textId="1923F5F9" w:rsidR="006310BB" w:rsidRPr="006310BB" w:rsidRDefault="006310BB" w:rsidP="006310BB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De igual modo os pedidos e causa de pedir constantes da reclamação inicial do demandante não foram objeto de alteração, que se dão aqui por integralmente reproduzidos para todos os efeitos, e consistem, em suma, na condenação da demandada </w:t>
      </w:r>
      <w:r w:rsidR="008728C9">
        <w:rPr>
          <w:rFonts w:ascii="Garamond" w:hAnsi="Garamond"/>
          <w:sz w:val="24"/>
          <w:szCs w:val="24"/>
        </w:rPr>
        <w:t>na reavaliação e regularização dos valores cobrados após setembro de 2024 relativos ao serviço de telefone fixo que alega não ter utilizado e na devolução dos valores cobrados indevidamente.</w:t>
      </w:r>
    </w:p>
    <w:p w14:paraId="313B5B36" w14:textId="480F1C56" w:rsidR="006310BB" w:rsidRPr="006310BB" w:rsidRDefault="006310BB" w:rsidP="006310BB">
      <w:pPr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Por sua vez, a demandada apresentou contestação escrita na qual se defendeu por exceção e impugnação, alegando, para o efeito, que não existe qualquer fundamento legal e/ou </w:t>
      </w:r>
      <w:r w:rsidRPr="006310BB">
        <w:rPr>
          <w:rFonts w:ascii="Garamond" w:hAnsi="Garamond"/>
          <w:sz w:val="24"/>
          <w:szCs w:val="24"/>
        </w:rPr>
        <w:lastRenderedPageBreak/>
        <w:t xml:space="preserve">contratual para </w:t>
      </w:r>
      <w:r w:rsidR="00AA5C7D">
        <w:rPr>
          <w:rFonts w:ascii="Garamond" w:hAnsi="Garamond"/>
          <w:sz w:val="24"/>
          <w:szCs w:val="24"/>
        </w:rPr>
        <w:t xml:space="preserve">a regularização e </w:t>
      </w:r>
      <w:r w:rsidRPr="006310BB">
        <w:rPr>
          <w:rFonts w:ascii="Garamond" w:hAnsi="Garamond"/>
          <w:sz w:val="24"/>
          <w:szCs w:val="24"/>
        </w:rPr>
        <w:t>reembolso pretendid</w:t>
      </w:r>
      <w:r w:rsidR="00AA5C7D">
        <w:rPr>
          <w:rFonts w:ascii="Garamond" w:hAnsi="Garamond"/>
          <w:sz w:val="24"/>
          <w:szCs w:val="24"/>
        </w:rPr>
        <w:t>os</w:t>
      </w:r>
      <w:r w:rsidRPr="006310BB">
        <w:rPr>
          <w:rFonts w:ascii="Garamond" w:hAnsi="Garamond"/>
          <w:sz w:val="24"/>
          <w:szCs w:val="24"/>
        </w:rPr>
        <w:t xml:space="preserve"> pelo demandante, pugnando, a final, pela licitude da sua atuação, e pela improcedência total da presente ação, por não provada, e a sua absolvição do pedido.</w:t>
      </w:r>
    </w:p>
    <w:p w14:paraId="4D26F3F1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B. – Constituição do Tribunal Arbitral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6A694FC5" w14:textId="3D94BB7D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Nos termos do </w:t>
      </w:r>
      <w:r w:rsidRPr="006310BB">
        <w:rPr>
          <w:rFonts w:ascii="Garamond" w:eastAsia="Times New Roman" w:hAnsi="Garamond"/>
          <w:b/>
          <w:sz w:val="24"/>
          <w:szCs w:val="24"/>
          <w:lang w:eastAsia="zh-CN"/>
        </w:rPr>
        <w:t>artigo 13.º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2A050C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o tribunal arbitral é constituído por um único Árbitro.</w:t>
      </w:r>
    </w:p>
    <w:p w14:paraId="652635FF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05F25407" w14:textId="52DF58C8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O árbitro signatário da presente sentença arbitral foi designado para o efeito pelo </w:t>
      </w:r>
      <w:r w:rsidR="002A050C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e aceitou a nomeação na data mencionada nos autos deste processo.</w:t>
      </w:r>
    </w:p>
    <w:p w14:paraId="3C8E4298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389DA7F2" w14:textId="7558D756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C. – Audiência Arbitral</w:t>
      </w:r>
      <w:r w:rsidRPr="006310BB">
        <w:rPr>
          <w:rFonts w:ascii="Garamond" w:eastAsia="Times New Roman" w:hAnsi="Garamond"/>
          <w:b/>
          <w:sz w:val="24"/>
          <w:szCs w:val="24"/>
          <w:lang w:eastAsia="zh-CN"/>
        </w:rPr>
        <w:t xml:space="preserve"> 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(</w:t>
      </w:r>
      <w:r w:rsidRPr="006310BB">
        <w:rPr>
          <w:rFonts w:ascii="Garamond" w:eastAsia="Times New Roman" w:hAnsi="Garamond"/>
          <w:sz w:val="24"/>
          <w:szCs w:val="24"/>
          <w:u w:val="single"/>
          <w:lang w:eastAsia="zh-CN"/>
        </w:rPr>
        <w:t>artigo 18.º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2A050C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):</w:t>
      </w:r>
    </w:p>
    <w:p w14:paraId="1340C9E1" w14:textId="6BF2C155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Nos termos do </w:t>
      </w:r>
      <w:r w:rsidRPr="006310BB">
        <w:rPr>
          <w:rFonts w:ascii="Garamond" w:eastAsia="Times New Roman" w:hAnsi="Garamond"/>
          <w:b/>
          <w:sz w:val="24"/>
          <w:szCs w:val="24"/>
          <w:lang w:eastAsia="zh-CN"/>
        </w:rPr>
        <w:t>artigo 18.º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2A050C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as partes foram notificadas da data, hora e local da audiência arbitral, precedida da tentativa de conciliação prevista no </w:t>
      </w:r>
      <w:r w:rsidRPr="006310BB">
        <w:rPr>
          <w:rFonts w:ascii="Garamond" w:eastAsia="Times New Roman" w:hAnsi="Garamond"/>
          <w:b/>
          <w:sz w:val="24"/>
          <w:szCs w:val="24"/>
          <w:lang w:eastAsia="zh-CN"/>
        </w:rPr>
        <w:t>artigo 15.º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do referido regulamento.</w:t>
      </w:r>
    </w:p>
    <w:p w14:paraId="378D83D9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B07DDC5" w14:textId="41A5A133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A audiência arbitral realizou-se </w:t>
      </w:r>
      <w:r w:rsidR="00C459AA">
        <w:rPr>
          <w:rFonts w:ascii="Garamond" w:eastAsia="Times New Roman" w:hAnsi="Garamond"/>
          <w:sz w:val="24"/>
          <w:szCs w:val="24"/>
          <w:lang w:eastAsia="zh-CN"/>
        </w:rPr>
        <w:t>em Braga, na sede do Tribunal Arbitral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no dia </w:t>
      </w:r>
      <w:r w:rsidR="00C459AA">
        <w:rPr>
          <w:rFonts w:ascii="Garamond" w:eastAsia="Times New Roman" w:hAnsi="Garamond"/>
          <w:sz w:val="24"/>
          <w:szCs w:val="24"/>
          <w:u w:val="single"/>
          <w:lang w:eastAsia="zh-CN"/>
        </w:rPr>
        <w:t>14-07-2026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pelas </w:t>
      </w:r>
      <w:r w:rsidR="00DF2DF0">
        <w:rPr>
          <w:rFonts w:ascii="Garamond" w:eastAsia="Times New Roman" w:hAnsi="Garamond"/>
          <w:sz w:val="24"/>
          <w:szCs w:val="24"/>
          <w:lang w:eastAsia="zh-CN"/>
        </w:rPr>
        <w:t>16:30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07D3A26A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D0A79CC" w14:textId="3AF3AFA2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O demandante esteve presente e a demandada </w:t>
      </w:r>
      <w:r w:rsidR="00DF2DF0">
        <w:rPr>
          <w:rFonts w:ascii="Garamond" w:eastAsia="Times New Roman" w:hAnsi="Garamond"/>
          <w:sz w:val="24"/>
          <w:szCs w:val="24"/>
          <w:lang w:eastAsia="zh-CN"/>
        </w:rPr>
        <w:t>representada</w:t>
      </w:r>
      <w:r w:rsidR="004D39D8">
        <w:rPr>
          <w:rFonts w:ascii="Garamond" w:eastAsia="Times New Roman" w:hAnsi="Garamond"/>
          <w:sz w:val="24"/>
          <w:szCs w:val="24"/>
          <w:lang w:eastAsia="zh-CN"/>
        </w:rPr>
        <w:t xml:space="preserve"> pela</w:t>
      </w:r>
      <w:r w:rsidR="00DF2DF0">
        <w:rPr>
          <w:rFonts w:ascii="Garamond" w:eastAsia="Times New Roman" w:hAnsi="Garamond"/>
          <w:sz w:val="24"/>
          <w:szCs w:val="24"/>
          <w:lang w:eastAsia="zh-CN"/>
        </w:rPr>
        <w:t xml:space="preserve">, Advogada, não tendo as partes logrado a 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composição amigável deste litígio arbitral em sede de tentativa de conciliação.</w:t>
      </w:r>
    </w:p>
    <w:p w14:paraId="75EF7746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EBFB568" w14:textId="3BEAF898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Finda a audiência arbitral foi elaborada a respetiva ata e assinada pelo árbitro signatário e pela Ex.ma Senhora </w:t>
      </w:r>
      <w:r w:rsidR="00DF2DF0">
        <w:rPr>
          <w:rFonts w:ascii="Garamond" w:eastAsia="Times New Roman" w:hAnsi="Garamond"/>
          <w:sz w:val="24"/>
          <w:szCs w:val="24"/>
          <w:lang w:eastAsia="zh-CN"/>
        </w:rPr>
        <w:t>Secretária d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o </w:t>
      </w:r>
      <w:r w:rsidR="002A050C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presente na audiência arbitral.</w:t>
      </w:r>
    </w:p>
    <w:p w14:paraId="1B9F5616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AB654D8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II. – Saneamento e Valor da Causa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4FE1CDEA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>O processo é o próprio tendo em conta a causa de pedir e o pedido e está isento de quaisquer nulidades que tenham de ser apreciadas ou questões que obstem ao conhecimento do mérito da causa.</w:t>
      </w:r>
    </w:p>
    <w:p w14:paraId="24A575FB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AABEE34" w14:textId="3217089A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Compete a este tribunal fixar o valor da causa arbitral no uso dos poderes que lhe são conferidos pelo disposto no </w:t>
      </w:r>
      <w:r w:rsidRPr="006310BB">
        <w:rPr>
          <w:rFonts w:ascii="Garamond" w:hAnsi="Garamond"/>
          <w:b/>
          <w:sz w:val="24"/>
          <w:szCs w:val="24"/>
        </w:rPr>
        <w:t>artigo 18.º</w:t>
      </w:r>
      <w:r w:rsidRPr="006310BB">
        <w:rPr>
          <w:rFonts w:ascii="Garamond" w:hAnsi="Garamond"/>
          <w:sz w:val="24"/>
          <w:szCs w:val="24"/>
        </w:rPr>
        <w:t xml:space="preserve"> do regulamento do </w:t>
      </w:r>
      <w:r w:rsidR="002A050C">
        <w:rPr>
          <w:rFonts w:ascii="Garamond" w:hAnsi="Garamond"/>
          <w:sz w:val="24"/>
          <w:szCs w:val="24"/>
        </w:rPr>
        <w:t>CNIACC</w:t>
      </w:r>
      <w:r w:rsidRPr="006310BB">
        <w:rPr>
          <w:rFonts w:ascii="Garamond" w:hAnsi="Garamond"/>
          <w:sz w:val="24"/>
          <w:szCs w:val="24"/>
        </w:rPr>
        <w:t xml:space="preserve"> e, subsidiariamente, </w:t>
      </w:r>
      <w:r w:rsidRPr="006310BB">
        <w:rPr>
          <w:rFonts w:ascii="Garamond" w:hAnsi="Garamond"/>
          <w:sz w:val="24"/>
          <w:szCs w:val="24"/>
        </w:rPr>
        <w:lastRenderedPageBreak/>
        <w:t xml:space="preserve">pela remissão operada pelo disposto no </w:t>
      </w:r>
      <w:r w:rsidRPr="006310BB">
        <w:rPr>
          <w:rFonts w:ascii="Garamond" w:hAnsi="Garamond"/>
          <w:b/>
          <w:sz w:val="24"/>
          <w:szCs w:val="24"/>
        </w:rPr>
        <w:t>artigo 27.º/3</w:t>
      </w:r>
      <w:r w:rsidRPr="006310BB">
        <w:rPr>
          <w:rFonts w:ascii="Garamond" w:hAnsi="Garamond"/>
          <w:sz w:val="24"/>
          <w:szCs w:val="24"/>
        </w:rPr>
        <w:t>, do Código do Processo Civil (</w:t>
      </w:r>
      <w:r w:rsidRPr="006310BB">
        <w:rPr>
          <w:rFonts w:ascii="Garamond" w:hAnsi="Garamond"/>
          <w:b/>
          <w:sz w:val="24"/>
          <w:szCs w:val="24"/>
        </w:rPr>
        <w:t>artigo 296.º/1</w:t>
      </w:r>
      <w:r w:rsidRPr="006310BB">
        <w:rPr>
          <w:rFonts w:ascii="Garamond" w:hAnsi="Garamond"/>
          <w:sz w:val="24"/>
          <w:szCs w:val="24"/>
        </w:rPr>
        <w:t>).</w:t>
      </w:r>
    </w:p>
    <w:p w14:paraId="30DE40CB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596887FB" w14:textId="42D7B328" w:rsidR="006310BB" w:rsidRPr="006310BB" w:rsidRDefault="006310BB" w:rsidP="006310BB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O demandante pretende que este tribunal </w:t>
      </w:r>
      <w:r w:rsidR="000C3E79">
        <w:rPr>
          <w:rFonts w:ascii="Garamond" w:hAnsi="Garamond"/>
          <w:sz w:val="24"/>
          <w:szCs w:val="24"/>
        </w:rPr>
        <w:t>condene a</w:t>
      </w:r>
      <w:r w:rsidR="000C3E79" w:rsidRPr="006310BB">
        <w:rPr>
          <w:rFonts w:ascii="Garamond" w:hAnsi="Garamond"/>
          <w:sz w:val="24"/>
          <w:szCs w:val="24"/>
        </w:rPr>
        <w:t xml:space="preserve"> demandada </w:t>
      </w:r>
      <w:r w:rsidR="000C3E79">
        <w:rPr>
          <w:rFonts w:ascii="Garamond" w:hAnsi="Garamond"/>
          <w:sz w:val="24"/>
          <w:szCs w:val="24"/>
        </w:rPr>
        <w:t>na reavaliação e regularização dos valores cobrados após setembro de 2024 relativos ao serviço de telefone fixo que alega não ter utilizado e na devolução dos valores cobrados indevidamente.</w:t>
      </w:r>
    </w:p>
    <w:p w14:paraId="1A359907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153C6A27" w14:textId="120AEF74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Analisado, assim, o pedido e a causa de pedir à luz das regras previstas no Código de Processo Civil para a verificação do valor da causa, fixa-se o seu valor em </w:t>
      </w:r>
      <w:r w:rsidRPr="006310BB">
        <w:rPr>
          <w:rFonts w:ascii="Garamond" w:eastAsia="Times New Roman" w:hAnsi="Garamond"/>
          <w:b/>
          <w:sz w:val="24"/>
          <w:szCs w:val="24"/>
          <w:lang w:eastAsia="zh-CN"/>
        </w:rPr>
        <w:t>€</w:t>
      </w:r>
      <w:r w:rsidR="000C3E79">
        <w:rPr>
          <w:rFonts w:ascii="Garamond" w:eastAsia="Times New Roman" w:hAnsi="Garamond"/>
          <w:b/>
          <w:sz w:val="24"/>
          <w:szCs w:val="24"/>
          <w:lang w:eastAsia="zh-CN"/>
        </w:rPr>
        <w:t>1.000,00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  <w:r w:rsidRPr="006310BB">
        <w:rPr>
          <w:rFonts w:ascii="Garamond" w:eastAsiaTheme="minorHAnsi" w:hAnsi="Garamond" w:cstheme="minorBidi"/>
          <w:sz w:val="24"/>
          <w:szCs w:val="24"/>
        </w:rPr>
        <w:t xml:space="preserve">recorrendo aos critérios previstos nos </w:t>
      </w:r>
      <w:r w:rsidRPr="006310BB">
        <w:rPr>
          <w:rFonts w:ascii="Garamond" w:eastAsiaTheme="minorHAnsi" w:hAnsi="Garamond" w:cstheme="minorBidi"/>
          <w:b/>
          <w:sz w:val="24"/>
          <w:szCs w:val="24"/>
        </w:rPr>
        <w:t>artigos 297.º/1</w:t>
      </w:r>
      <w:r w:rsidRPr="006310BB">
        <w:rPr>
          <w:rFonts w:ascii="Garamond" w:eastAsiaTheme="minorHAnsi" w:hAnsi="Garamond" w:cstheme="minorBidi"/>
          <w:sz w:val="24"/>
          <w:szCs w:val="24"/>
        </w:rPr>
        <w:t xml:space="preserve"> e </w:t>
      </w:r>
      <w:r w:rsidRPr="006310BB">
        <w:rPr>
          <w:rFonts w:ascii="Garamond" w:eastAsiaTheme="minorHAnsi" w:hAnsi="Garamond" w:cstheme="minorBidi"/>
          <w:b/>
          <w:bCs/>
          <w:sz w:val="24"/>
          <w:szCs w:val="24"/>
        </w:rPr>
        <w:t>299.º</w:t>
      </w:r>
      <w:r w:rsidRPr="006310BB">
        <w:rPr>
          <w:rFonts w:ascii="Garamond" w:eastAsiaTheme="minorHAnsi" w:hAnsi="Garamond" w:cstheme="minorBidi"/>
          <w:sz w:val="24"/>
          <w:szCs w:val="24"/>
        </w:rPr>
        <w:t xml:space="preserve">, ambos do CPC, em virtude de ser o valor </w:t>
      </w:r>
      <w:r w:rsidR="000C3E79">
        <w:rPr>
          <w:rFonts w:ascii="Garamond" w:eastAsiaTheme="minorHAnsi" w:hAnsi="Garamond" w:cstheme="minorBidi"/>
          <w:sz w:val="24"/>
          <w:szCs w:val="24"/>
        </w:rPr>
        <w:t>que o demandante reclamada da demandada nos presentes autos.</w:t>
      </w:r>
    </w:p>
    <w:p w14:paraId="49C10E05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0E43A3F8" w14:textId="77777777" w:rsidR="006310BB" w:rsidRPr="006310BB" w:rsidRDefault="006310BB" w:rsidP="006310BB">
      <w:pPr>
        <w:tabs>
          <w:tab w:val="center" w:pos="5457"/>
        </w:tabs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b/>
          <w:bCs/>
          <w:sz w:val="24"/>
          <w:szCs w:val="24"/>
          <w:highlight w:val="lightGray"/>
          <w:lang w:eastAsia="zh-CN"/>
        </w:rPr>
        <w:t>Cumpre, por isso, apreciar e decidir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53F625E1" w14:textId="77777777" w:rsidR="006310BB" w:rsidRPr="006310BB" w:rsidRDefault="006310BB" w:rsidP="006310BB">
      <w:pPr>
        <w:tabs>
          <w:tab w:val="center" w:pos="5457"/>
        </w:tabs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ab/>
      </w:r>
    </w:p>
    <w:p w14:paraId="2517F8D7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III. – Enquadramento de Facto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23B20A40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A fundamentação da decisão arbitral quanto à matéria de facto constitui uma exigência essencial do processo equitativo e do próprio Estado de Direito, assumindo particular relevância enquanto garantia de transparência, controlo jurisdicional e legitimação da atividade decisória do tribunal arbitral. </w:t>
      </w:r>
    </w:p>
    <w:p w14:paraId="0040114C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>A motivação da resposta à matéria de facto não se esgota numa mera enumeração dos factos provados e não provados, antes impondo a explicitação crítica do percurso cognitivo e valorativo seguido pelos árbitros na apreciação da prova produzida.</w:t>
      </w:r>
    </w:p>
    <w:p w14:paraId="34E42E22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No ordenamento jurídico português, a exigência de fundamentação das decisões jurisdicionais encontra assento constitucional no </w:t>
      </w:r>
      <w:r w:rsidRPr="006310BB">
        <w:rPr>
          <w:rFonts w:ascii="Garamond" w:hAnsi="Garamond"/>
          <w:b/>
          <w:bCs/>
          <w:sz w:val="24"/>
          <w:szCs w:val="24"/>
        </w:rPr>
        <w:t>artigo 205.º/1</w:t>
      </w:r>
      <w:r w:rsidRPr="006310BB">
        <w:rPr>
          <w:rFonts w:ascii="Garamond" w:hAnsi="Garamond"/>
          <w:sz w:val="24"/>
          <w:szCs w:val="24"/>
        </w:rPr>
        <w:t xml:space="preserve">, da Constituição da República Portuguesa (CRP), segundo o qual </w:t>
      </w:r>
      <w:r w:rsidRPr="006310BB">
        <w:rPr>
          <w:rFonts w:ascii="Garamond" w:hAnsi="Garamond"/>
          <w:i/>
          <w:iCs/>
          <w:sz w:val="24"/>
          <w:szCs w:val="24"/>
        </w:rPr>
        <w:t>“1. As decisões dos tribunais que não sejam de mero expediente são fundamentadas na forma prevista na lei. (…);”</w:t>
      </w:r>
      <w:r w:rsidRPr="006310BB">
        <w:rPr>
          <w:rFonts w:ascii="Garamond" w:hAnsi="Garamond"/>
          <w:sz w:val="24"/>
          <w:szCs w:val="24"/>
        </w:rPr>
        <w:t xml:space="preserve">. </w:t>
      </w:r>
    </w:p>
    <w:p w14:paraId="30CA978F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Embora os tribunais arbitrais não integrem, em sentido estrito, a organização judiciária estadual, exercem função jurisdicional, encontrando-se igualmente sujeitos às exigências estruturantes de fundamentação, imparcialidade e racionalidade decisória, e, sobretudo, têm reconhecimento constitucional no </w:t>
      </w:r>
      <w:r w:rsidRPr="006310BB">
        <w:rPr>
          <w:rFonts w:ascii="Garamond" w:hAnsi="Garamond"/>
          <w:b/>
          <w:bCs/>
          <w:sz w:val="24"/>
          <w:szCs w:val="24"/>
        </w:rPr>
        <w:t>artigo 209.º/3</w:t>
      </w:r>
      <w:r w:rsidRPr="006310BB">
        <w:rPr>
          <w:rFonts w:ascii="Garamond" w:hAnsi="Garamond"/>
          <w:sz w:val="24"/>
          <w:szCs w:val="24"/>
        </w:rPr>
        <w:t xml:space="preserve">, da CRP, que dispõe que </w:t>
      </w:r>
      <w:r w:rsidRPr="006310BB">
        <w:rPr>
          <w:rFonts w:ascii="Garamond" w:hAnsi="Garamond"/>
          <w:i/>
          <w:iCs/>
          <w:sz w:val="24"/>
          <w:szCs w:val="24"/>
        </w:rPr>
        <w:t xml:space="preserve">“3. A lei determina os casos e as formas em que os tribunais previstos nos números anteriores se podem constituir, separada ou conjuntamente, em tribunais de conflitos.“. </w:t>
      </w:r>
    </w:p>
    <w:p w14:paraId="67251C91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lastRenderedPageBreak/>
        <w:t xml:space="preserve">A fundamentação da sentença arbitral emerge, assim, como corolário dos princípios do contraditório, da igualdade das partes e da tutela jurisdicional efetiva, consagrados nos </w:t>
      </w:r>
      <w:r w:rsidRPr="006310BB">
        <w:rPr>
          <w:rFonts w:ascii="Garamond" w:hAnsi="Garamond"/>
          <w:b/>
          <w:bCs/>
          <w:sz w:val="24"/>
          <w:szCs w:val="24"/>
        </w:rPr>
        <w:t>artigos 20.</w:t>
      </w:r>
      <w:r w:rsidRPr="006310BB">
        <w:rPr>
          <w:rFonts w:ascii="Garamond" w:hAnsi="Garamond"/>
          <w:sz w:val="24"/>
          <w:szCs w:val="24"/>
        </w:rPr>
        <w:t xml:space="preserve">º e </w:t>
      </w:r>
      <w:r w:rsidRPr="006310BB">
        <w:rPr>
          <w:rFonts w:ascii="Garamond" w:hAnsi="Garamond"/>
          <w:b/>
          <w:bCs/>
          <w:sz w:val="24"/>
          <w:szCs w:val="24"/>
        </w:rPr>
        <w:t>202.º</w:t>
      </w:r>
      <w:r w:rsidRPr="006310BB">
        <w:rPr>
          <w:rFonts w:ascii="Garamond" w:hAnsi="Garamond"/>
          <w:sz w:val="24"/>
          <w:szCs w:val="24"/>
        </w:rPr>
        <w:t xml:space="preserve"> da CRP.</w:t>
      </w:r>
    </w:p>
    <w:p w14:paraId="15C5DBCB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A nível infraconstitucional, a Lei da Arbitragem Voluntária (LAV), prevê expressamente, no </w:t>
      </w:r>
      <w:r w:rsidRPr="006310BB">
        <w:rPr>
          <w:rFonts w:ascii="Garamond" w:hAnsi="Garamond"/>
          <w:b/>
          <w:bCs/>
          <w:sz w:val="24"/>
          <w:szCs w:val="24"/>
        </w:rPr>
        <w:t>artigo 42.º/3</w:t>
      </w:r>
      <w:r w:rsidRPr="006310BB">
        <w:rPr>
          <w:rFonts w:ascii="Garamond" w:hAnsi="Garamond"/>
          <w:sz w:val="24"/>
          <w:szCs w:val="24"/>
        </w:rPr>
        <w:t>, que a sentença arbitral deve ser fundamentada, salvo se as partes tiverem dispensado essa exigência ou se a decisão resultar de acordo entre elas.</w:t>
      </w:r>
    </w:p>
    <w:p w14:paraId="628DAA8C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>A fundamentação deve abranger tanto a matéria de direito como a matéria de facto sob pena de a decisão padecer de insuficiência estrutural suscetível de comprometer a sua validade.</w:t>
      </w:r>
    </w:p>
    <w:p w14:paraId="6FD4B8B7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A motivação da decisão sobre a matéria de facto desempenha diversas funções essenciais, desde logo permite às partes compreender as razões pelas quais determinados meios de prova foram considerados credíveis e outros desvalorizados, assegurando a transparência da decisão e prevenindo a arbitrariedade. </w:t>
      </w:r>
    </w:p>
    <w:p w14:paraId="4EBF27FC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Simultaneamente, possibilita o controlo jurisdicional da sentença arbitral, designadamente em sede de ação de anulação prevista no </w:t>
      </w:r>
      <w:r w:rsidRPr="006310BB">
        <w:rPr>
          <w:rFonts w:ascii="Garamond" w:hAnsi="Garamond"/>
          <w:b/>
          <w:bCs/>
          <w:sz w:val="24"/>
          <w:szCs w:val="24"/>
        </w:rPr>
        <w:t>artigo 46.º</w:t>
      </w:r>
      <w:r w:rsidRPr="006310BB">
        <w:rPr>
          <w:rFonts w:ascii="Garamond" w:hAnsi="Garamond"/>
          <w:sz w:val="24"/>
          <w:szCs w:val="24"/>
        </w:rPr>
        <w:t xml:space="preserve"> da LAV, sobretudo quando esteja em causa a violação de princípios fundamentais do processo arbitral.</w:t>
      </w:r>
    </w:p>
    <w:p w14:paraId="166DD0C8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A jurisprudência portuguesa tem reiteradamente afirmado que a fundamentação não pode ser meramente aparente, genérica ou conclusiva. </w:t>
      </w:r>
    </w:p>
    <w:p w14:paraId="0DEF4128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Exige-se uma motivação efetiva, ainda que sintética, apta a revelar o caminho lógico seguido pelo tribunal arbitral na formação da sua convicção. </w:t>
      </w:r>
    </w:p>
    <w:p w14:paraId="2EA34D5C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Neste sentido, o Supremo Tribunal de Justiça tem vindo a afirmar que a fundamentação da decisão sobre a matéria de facto não se basta com a mera indicação dos meios de prova considerados, exigindo antes a explicitação do percurso lógico-racional que conduziu à formação da convicção do julgador (Acórdão de </w:t>
      </w:r>
      <w:r w:rsidRPr="006310BB">
        <w:rPr>
          <w:rFonts w:ascii="Garamond" w:hAnsi="Garamond"/>
          <w:sz w:val="24"/>
          <w:szCs w:val="24"/>
          <w:u w:val="single"/>
        </w:rPr>
        <w:t>24-11-2016</w:t>
      </w:r>
      <w:r w:rsidRPr="006310BB">
        <w:rPr>
          <w:rFonts w:ascii="Garamond" w:hAnsi="Garamond"/>
          <w:sz w:val="24"/>
          <w:szCs w:val="24"/>
        </w:rPr>
        <w:t xml:space="preserve"> proferido nos autos do processo n.º1052/14.1TBBCL.P1.S1).</w:t>
      </w:r>
    </w:p>
    <w:p w14:paraId="49DB943E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>Particularmente relevante é a articulação entre o princípio da livre apreciação da prova e o dever de fundamentação.</w:t>
      </w:r>
    </w:p>
    <w:p w14:paraId="07D2F5DA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Embora os árbitros beneficiem de ampla liberdade valorativa na apreciação dos meios probatórios essa liberdade não equivale a discricionariedade arbitrária. </w:t>
      </w:r>
    </w:p>
    <w:p w14:paraId="432E722E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lastRenderedPageBreak/>
        <w:t>A convicção do tribunal arbitral deve assentar em critérios racionais, objetiváveis e controláveis, sendo precisamente a fundamentação o instrumento que exterioriza essa racionalidade decisória.</w:t>
      </w:r>
    </w:p>
    <w:p w14:paraId="67DF1B36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>Em síntese, a fundamentação da sentença arbitral relativamente à matéria de facto não constitui uma mera formalidade procedimental, mas antes uma exigência essencial de validade, racionalidade e legitimidade da decisão jurisdicional arbitral.</w:t>
      </w:r>
    </w:p>
    <w:p w14:paraId="7523D1E9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>Através dela assegura-se a transparência do exercício jurisdicional, a proteção dos direitos das partes e a possibilidade de controlo da atividade decisória do tribunal arbitral, reforçando-se, em última análise, a credibilidade e a confiança no sistema arbitral.</w:t>
      </w:r>
    </w:p>
    <w:p w14:paraId="7A38DC0A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hAnsi="Garamond"/>
          <w:sz w:val="24"/>
          <w:szCs w:val="24"/>
        </w:rPr>
        <w:t xml:space="preserve">Assim, finda a produção de prova e tendo em conta a posição assumida pelas partes nos seus articulados, as declarações de parte prestadas pelo demandante na audiência arbitral, 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os documentos junto aos autos, os factos admitidos por acordo, confessados e/ou provados por documentos</w:t>
      </w:r>
      <w:r w:rsidRPr="006310BB">
        <w:rPr>
          <w:rFonts w:ascii="Garamond" w:hAnsi="Garamond"/>
          <w:sz w:val="24"/>
          <w:szCs w:val="24"/>
        </w:rPr>
        <w:t xml:space="preserve">, em conjugação, ainda, com as regras da experiência e com os juízos da normalidade da vida, </w:t>
      </w:r>
      <w:r w:rsidRPr="006310BB">
        <w:rPr>
          <w:rFonts w:ascii="Garamond" w:hAnsi="Garamond"/>
          <w:b/>
          <w:sz w:val="24"/>
          <w:szCs w:val="24"/>
          <w:highlight w:val="lightGray"/>
          <w:u w:val="single"/>
        </w:rPr>
        <w:t>resultaram provados</w:t>
      </w:r>
      <w:r w:rsidRPr="006310BB">
        <w:rPr>
          <w:rFonts w:ascii="Garamond" w:hAnsi="Garamond"/>
          <w:sz w:val="24"/>
          <w:szCs w:val="24"/>
        </w:rPr>
        <w:t xml:space="preserve">, com relevância para a decisão desta causa arbitral, os </w:t>
      </w:r>
      <w:r w:rsidRPr="006310BB">
        <w:rPr>
          <w:rFonts w:ascii="Garamond" w:hAnsi="Garamond"/>
          <w:b/>
          <w:bCs/>
          <w:sz w:val="24"/>
          <w:szCs w:val="24"/>
          <w:highlight w:val="lightGray"/>
          <w:u w:val="single"/>
        </w:rPr>
        <w:t>factos seguintes</w:t>
      </w:r>
      <w:r w:rsidRPr="006310BB">
        <w:rPr>
          <w:rFonts w:ascii="Garamond" w:hAnsi="Garamond"/>
          <w:sz w:val="24"/>
          <w:szCs w:val="24"/>
        </w:rPr>
        <w:t>:</w:t>
      </w:r>
    </w:p>
    <w:p w14:paraId="5A47E028" w14:textId="03B5A0C5" w:rsidR="005127F7" w:rsidRPr="005127F7" w:rsidRDefault="005127F7" w:rsidP="005127F7">
      <w:pPr>
        <w:numPr>
          <w:ilvl w:val="0"/>
          <w:numId w:val="9"/>
        </w:numPr>
        <w:tabs>
          <w:tab w:val="left" w:pos="284"/>
        </w:tabs>
        <w:spacing w:line="360" w:lineRule="auto"/>
        <w:ind w:left="284" w:hanging="284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  <w:r>
        <w:rPr>
          <w:rFonts w:ascii="Garamond" w:hAnsi="Garamond"/>
          <w:color w:val="000000"/>
          <w:sz w:val="24"/>
          <w:szCs w:val="24"/>
        </w:rPr>
        <w:t xml:space="preserve">O demandante contratou à demandada em maio de 2024 </w:t>
      </w:r>
      <w:r w:rsidR="00CC4962">
        <w:rPr>
          <w:rFonts w:ascii="Garamond" w:hAnsi="Garamond"/>
          <w:color w:val="000000"/>
          <w:sz w:val="24"/>
          <w:szCs w:val="24"/>
        </w:rPr>
        <w:t xml:space="preserve">para a habitação sita na rua Merouços, 34, rés-do-chão, 5340-252, em Macedo de Cavaleiros, </w:t>
      </w:r>
      <w:r>
        <w:rPr>
          <w:rFonts w:ascii="Garamond" w:hAnsi="Garamond"/>
          <w:color w:val="000000"/>
          <w:sz w:val="24"/>
          <w:szCs w:val="24"/>
        </w:rPr>
        <w:t>o pacote de serviços “Tarifário M4” que inclui os serviços de televisão, net 500, voz e telemóveis</w:t>
      </w:r>
      <w:r w:rsidR="00E45A1D">
        <w:rPr>
          <w:rFonts w:ascii="Garamond" w:hAnsi="Garamond"/>
          <w:color w:val="000000"/>
          <w:sz w:val="24"/>
          <w:szCs w:val="24"/>
        </w:rPr>
        <w:t>;</w:t>
      </w:r>
    </w:p>
    <w:p w14:paraId="28F4BB41" w14:textId="77777777" w:rsidR="005127F7" w:rsidRPr="005127F7" w:rsidRDefault="005127F7" w:rsidP="005127F7">
      <w:pPr>
        <w:tabs>
          <w:tab w:val="left" w:pos="284"/>
        </w:tabs>
        <w:spacing w:line="360" w:lineRule="auto"/>
        <w:ind w:left="284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</w:p>
    <w:p w14:paraId="62BEC721" w14:textId="05D145AD" w:rsidR="00E45A1D" w:rsidRPr="00E45A1D" w:rsidRDefault="005127F7" w:rsidP="00E45A1D">
      <w:pPr>
        <w:numPr>
          <w:ilvl w:val="0"/>
          <w:numId w:val="9"/>
        </w:numPr>
        <w:tabs>
          <w:tab w:val="left" w:pos="284"/>
        </w:tabs>
        <w:spacing w:line="360" w:lineRule="auto"/>
        <w:ind w:left="284" w:hanging="284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  <w:r>
        <w:rPr>
          <w:rFonts w:ascii="Garamond" w:hAnsi="Garamond"/>
          <w:color w:val="000000"/>
          <w:sz w:val="24"/>
          <w:szCs w:val="24"/>
        </w:rPr>
        <w:t xml:space="preserve"> </w:t>
      </w:r>
      <w:r w:rsidR="00E45A1D">
        <w:rPr>
          <w:rFonts w:ascii="Garamond" w:hAnsi="Garamond"/>
          <w:color w:val="000000"/>
          <w:sz w:val="24"/>
          <w:szCs w:val="24"/>
        </w:rPr>
        <w:t>A este pacote de serviços estavam associados três números de telemóvel;</w:t>
      </w:r>
    </w:p>
    <w:p w14:paraId="43F83E1F" w14:textId="77777777" w:rsidR="00E45A1D" w:rsidRDefault="00E45A1D" w:rsidP="00E45A1D">
      <w:pPr>
        <w:tabs>
          <w:tab w:val="left" w:pos="284"/>
        </w:tabs>
        <w:spacing w:line="360" w:lineRule="auto"/>
        <w:ind w:left="284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</w:p>
    <w:p w14:paraId="578D60AC" w14:textId="09ACC46D" w:rsidR="00E45A1D" w:rsidRPr="00E45A1D" w:rsidRDefault="00E45A1D" w:rsidP="00E45A1D">
      <w:pPr>
        <w:numPr>
          <w:ilvl w:val="0"/>
          <w:numId w:val="9"/>
        </w:numPr>
        <w:tabs>
          <w:tab w:val="left" w:pos="284"/>
        </w:tabs>
        <w:spacing w:line="360" w:lineRule="auto"/>
        <w:ind w:left="284" w:hanging="284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  <w:r>
        <w:rPr>
          <w:rFonts w:ascii="Garamond" w:eastAsia="Times New Roman" w:hAnsi="Garamond" w:cs="Calibri"/>
          <w:sz w:val="24"/>
          <w:szCs w:val="24"/>
          <w:lang w:eastAsia="zh-CN"/>
        </w:rPr>
        <w:t xml:space="preserve">O demandante vendeu aquela habitação em </w:t>
      </w:r>
      <w:r w:rsidRPr="00302233">
        <w:rPr>
          <w:rFonts w:ascii="Garamond" w:eastAsia="Times New Roman" w:hAnsi="Garamond" w:cs="Calibri"/>
          <w:sz w:val="24"/>
          <w:szCs w:val="24"/>
          <w:u w:val="single"/>
          <w:lang w:eastAsia="zh-CN"/>
        </w:rPr>
        <w:t>23-09-2024</w:t>
      </w:r>
      <w:r>
        <w:rPr>
          <w:rFonts w:ascii="Garamond" w:eastAsia="Times New Roman" w:hAnsi="Garamond" w:cs="Calibri"/>
          <w:sz w:val="24"/>
          <w:szCs w:val="24"/>
          <w:lang w:eastAsia="zh-CN"/>
        </w:rPr>
        <w:t>;</w:t>
      </w:r>
    </w:p>
    <w:p w14:paraId="4DA9E46B" w14:textId="77777777" w:rsidR="00E45A1D" w:rsidRDefault="00E45A1D" w:rsidP="00E45A1D">
      <w:pPr>
        <w:tabs>
          <w:tab w:val="left" w:pos="284"/>
        </w:tabs>
        <w:spacing w:line="360" w:lineRule="auto"/>
        <w:ind w:left="284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</w:p>
    <w:p w14:paraId="16D07E63" w14:textId="6657B439" w:rsidR="00E45A1D" w:rsidRDefault="00E45A1D" w:rsidP="005127F7">
      <w:pPr>
        <w:numPr>
          <w:ilvl w:val="0"/>
          <w:numId w:val="9"/>
        </w:numPr>
        <w:tabs>
          <w:tab w:val="left" w:pos="284"/>
        </w:tabs>
        <w:spacing w:line="360" w:lineRule="auto"/>
        <w:ind w:left="284" w:hanging="284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  <w:r>
        <w:rPr>
          <w:rFonts w:ascii="Garamond" w:eastAsia="Times New Roman" w:hAnsi="Garamond" w:cs="Calibri"/>
          <w:sz w:val="24"/>
          <w:szCs w:val="24"/>
          <w:lang w:eastAsia="zh-CN"/>
        </w:rPr>
        <w:t>O demandante não comunicou a venda à demandada;</w:t>
      </w:r>
    </w:p>
    <w:p w14:paraId="0D681FE9" w14:textId="77777777" w:rsidR="00E45A1D" w:rsidRPr="00E45A1D" w:rsidRDefault="00E45A1D" w:rsidP="00E45A1D">
      <w:pPr>
        <w:rPr>
          <w:rFonts w:ascii="Garamond" w:eastAsia="Times New Roman" w:hAnsi="Garamond" w:cs="Calibri"/>
          <w:sz w:val="24"/>
          <w:szCs w:val="24"/>
          <w:lang w:eastAsia="zh-CN"/>
        </w:rPr>
      </w:pPr>
    </w:p>
    <w:p w14:paraId="03501370" w14:textId="5984ADC9" w:rsidR="00E45A1D" w:rsidRPr="00E45A1D" w:rsidRDefault="00E45A1D" w:rsidP="00E45A1D">
      <w:pPr>
        <w:numPr>
          <w:ilvl w:val="0"/>
          <w:numId w:val="9"/>
        </w:numPr>
        <w:tabs>
          <w:tab w:val="left" w:pos="284"/>
        </w:tabs>
        <w:spacing w:line="360" w:lineRule="auto"/>
        <w:ind w:left="284" w:hanging="284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  <w:r>
        <w:rPr>
          <w:rFonts w:ascii="Garamond" w:eastAsia="Times New Roman" w:hAnsi="Garamond" w:cs="Calibri"/>
          <w:sz w:val="24"/>
          <w:szCs w:val="24"/>
          <w:lang w:eastAsia="zh-CN"/>
        </w:rPr>
        <w:t>A demandada continuou a prestar os serviços contratados pelo demandante para aquela habitação;</w:t>
      </w:r>
    </w:p>
    <w:p w14:paraId="2B7E8B16" w14:textId="77777777" w:rsidR="00E45A1D" w:rsidRDefault="00E45A1D" w:rsidP="00E45A1D">
      <w:pPr>
        <w:tabs>
          <w:tab w:val="left" w:pos="284"/>
        </w:tabs>
        <w:spacing w:line="360" w:lineRule="auto"/>
        <w:ind w:left="284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</w:p>
    <w:p w14:paraId="466466CC" w14:textId="7743DA12" w:rsidR="00E45A1D" w:rsidRDefault="00E45A1D" w:rsidP="005127F7">
      <w:pPr>
        <w:numPr>
          <w:ilvl w:val="0"/>
          <w:numId w:val="9"/>
        </w:numPr>
        <w:tabs>
          <w:tab w:val="left" w:pos="284"/>
        </w:tabs>
        <w:spacing w:line="360" w:lineRule="auto"/>
        <w:ind w:left="284" w:hanging="284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  <w:r>
        <w:rPr>
          <w:rFonts w:ascii="Garamond" w:eastAsia="Times New Roman" w:hAnsi="Garamond" w:cs="Calibri"/>
          <w:sz w:val="24"/>
          <w:szCs w:val="24"/>
          <w:lang w:eastAsia="zh-CN"/>
        </w:rPr>
        <w:t xml:space="preserve">Em </w:t>
      </w:r>
      <w:r w:rsidR="00A971C9" w:rsidRPr="00302233">
        <w:rPr>
          <w:rFonts w:ascii="Garamond" w:eastAsia="Times New Roman" w:hAnsi="Garamond" w:cs="Calibri"/>
          <w:sz w:val="24"/>
          <w:szCs w:val="24"/>
          <w:u w:val="single"/>
          <w:lang w:eastAsia="zh-CN"/>
        </w:rPr>
        <w:t>01-04-2026</w:t>
      </w:r>
      <w:r w:rsidR="00A971C9">
        <w:rPr>
          <w:rFonts w:ascii="Garamond" w:eastAsia="Times New Roman" w:hAnsi="Garamond" w:cs="Calibri"/>
          <w:sz w:val="24"/>
          <w:szCs w:val="24"/>
          <w:lang w:eastAsia="zh-CN"/>
        </w:rPr>
        <w:t xml:space="preserve"> o demandante solicitou numa loja da demandada a cessação dos serviços contratados em maio de 2024 alegando que se encontrava ausente no estrangeiro;</w:t>
      </w:r>
    </w:p>
    <w:p w14:paraId="0C0068BA" w14:textId="77777777" w:rsidR="00302233" w:rsidRPr="00302233" w:rsidRDefault="00302233" w:rsidP="00302233">
      <w:pPr>
        <w:rPr>
          <w:rFonts w:ascii="Garamond" w:eastAsia="Times New Roman" w:hAnsi="Garamond" w:cs="Calibri"/>
          <w:sz w:val="24"/>
          <w:szCs w:val="24"/>
          <w:lang w:eastAsia="zh-CN"/>
        </w:rPr>
      </w:pPr>
    </w:p>
    <w:p w14:paraId="7C66BA27" w14:textId="5878BBCC" w:rsidR="00302233" w:rsidRDefault="00302233" w:rsidP="005127F7">
      <w:pPr>
        <w:numPr>
          <w:ilvl w:val="0"/>
          <w:numId w:val="9"/>
        </w:numPr>
        <w:tabs>
          <w:tab w:val="left" w:pos="284"/>
        </w:tabs>
        <w:spacing w:line="360" w:lineRule="auto"/>
        <w:ind w:left="284" w:hanging="284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  <w:r>
        <w:rPr>
          <w:rFonts w:ascii="Garamond" w:eastAsia="Times New Roman" w:hAnsi="Garamond" w:cs="Calibri"/>
          <w:sz w:val="24"/>
          <w:szCs w:val="24"/>
          <w:lang w:eastAsia="zh-CN"/>
        </w:rPr>
        <w:lastRenderedPageBreak/>
        <w:t>Até aquela data o demandante não pediu a cessação, total ou parcial, dos serviços contratados à demandada;</w:t>
      </w:r>
    </w:p>
    <w:p w14:paraId="098EA158" w14:textId="77777777" w:rsidR="00A971C9" w:rsidRPr="005E215E" w:rsidRDefault="00A971C9" w:rsidP="005E215E">
      <w:pPr>
        <w:rPr>
          <w:rFonts w:ascii="Garamond" w:eastAsia="Times New Roman" w:hAnsi="Garamond" w:cs="Calibri"/>
          <w:sz w:val="24"/>
          <w:szCs w:val="24"/>
          <w:lang w:eastAsia="zh-CN"/>
        </w:rPr>
      </w:pPr>
    </w:p>
    <w:p w14:paraId="6C813AFC" w14:textId="5D06A5F1" w:rsidR="00302233" w:rsidRDefault="00302233" w:rsidP="00302233">
      <w:pPr>
        <w:numPr>
          <w:ilvl w:val="0"/>
          <w:numId w:val="9"/>
        </w:numPr>
        <w:tabs>
          <w:tab w:val="left" w:pos="284"/>
        </w:tabs>
        <w:spacing w:line="360" w:lineRule="auto"/>
        <w:ind w:left="284" w:hanging="284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  <w:r>
        <w:rPr>
          <w:rFonts w:ascii="Garamond" w:eastAsia="Times New Roman" w:hAnsi="Garamond" w:cs="Calibri"/>
          <w:sz w:val="24"/>
          <w:szCs w:val="24"/>
          <w:lang w:eastAsia="zh-CN"/>
        </w:rPr>
        <w:t>A demandada considerou que o demandante não fez prova da ausência, mas aceitou, ainda assim, a cessação, sem penalização, dos serviços;</w:t>
      </w:r>
    </w:p>
    <w:p w14:paraId="52609EE8" w14:textId="77777777" w:rsidR="00001351" w:rsidRPr="00001351" w:rsidRDefault="00001351" w:rsidP="00001351">
      <w:pPr>
        <w:tabs>
          <w:tab w:val="left" w:pos="284"/>
        </w:tabs>
        <w:spacing w:line="360" w:lineRule="auto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</w:p>
    <w:p w14:paraId="4D91C6B7" w14:textId="41D4CB1B" w:rsidR="00302233" w:rsidRDefault="00147A98" w:rsidP="005127F7">
      <w:pPr>
        <w:numPr>
          <w:ilvl w:val="0"/>
          <w:numId w:val="9"/>
        </w:numPr>
        <w:tabs>
          <w:tab w:val="left" w:pos="284"/>
        </w:tabs>
        <w:spacing w:line="360" w:lineRule="auto"/>
        <w:ind w:left="284" w:hanging="284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  <w:r>
        <w:rPr>
          <w:rFonts w:ascii="Garamond" w:eastAsia="Times New Roman" w:hAnsi="Garamond" w:cs="Calibri"/>
          <w:sz w:val="24"/>
          <w:szCs w:val="24"/>
          <w:lang w:eastAsia="zh-CN"/>
        </w:rPr>
        <w:t xml:space="preserve">Nos autos do processo n.º841-2025 que correu termos no CNIACC a demandada acordou com o demandante </w:t>
      </w:r>
      <w:r w:rsidR="00B5577F">
        <w:rPr>
          <w:rFonts w:ascii="Garamond" w:eastAsia="Times New Roman" w:hAnsi="Garamond" w:cs="Calibri"/>
          <w:sz w:val="24"/>
          <w:szCs w:val="24"/>
          <w:lang w:eastAsia="zh-CN"/>
        </w:rPr>
        <w:t xml:space="preserve">em abril de 2025 </w:t>
      </w:r>
      <w:r>
        <w:rPr>
          <w:rFonts w:ascii="Garamond" w:eastAsia="Times New Roman" w:hAnsi="Garamond" w:cs="Calibri"/>
          <w:sz w:val="24"/>
          <w:szCs w:val="24"/>
          <w:lang w:eastAsia="zh-CN"/>
        </w:rPr>
        <w:t>um crédito na conta de cliente de €32,00;</w:t>
      </w:r>
    </w:p>
    <w:p w14:paraId="2B90A5F3" w14:textId="77777777" w:rsidR="00147A98" w:rsidRPr="00147A98" w:rsidRDefault="00147A98" w:rsidP="00147A98">
      <w:pPr>
        <w:rPr>
          <w:rFonts w:ascii="Garamond" w:eastAsia="Times New Roman" w:hAnsi="Garamond" w:cs="Calibri"/>
          <w:sz w:val="24"/>
          <w:szCs w:val="24"/>
          <w:lang w:eastAsia="zh-CN"/>
        </w:rPr>
      </w:pPr>
    </w:p>
    <w:p w14:paraId="289D09E0" w14:textId="51FC8C5C" w:rsidR="00147A98" w:rsidRPr="006310BB" w:rsidRDefault="00147A98" w:rsidP="005127F7">
      <w:pPr>
        <w:numPr>
          <w:ilvl w:val="0"/>
          <w:numId w:val="9"/>
        </w:numPr>
        <w:tabs>
          <w:tab w:val="left" w:pos="284"/>
        </w:tabs>
        <w:spacing w:line="360" w:lineRule="auto"/>
        <w:ind w:left="284" w:hanging="284"/>
        <w:contextualSpacing/>
        <w:jc w:val="both"/>
        <w:rPr>
          <w:rFonts w:ascii="Garamond" w:eastAsia="Times New Roman" w:hAnsi="Garamond" w:cs="Calibri"/>
          <w:sz w:val="24"/>
          <w:szCs w:val="24"/>
          <w:lang w:eastAsia="zh-CN"/>
        </w:rPr>
      </w:pPr>
      <w:r>
        <w:rPr>
          <w:rFonts w:ascii="Garamond" w:eastAsia="Times New Roman" w:hAnsi="Garamond" w:cs="Calibri"/>
          <w:sz w:val="24"/>
          <w:szCs w:val="24"/>
          <w:lang w:eastAsia="zh-CN"/>
        </w:rPr>
        <w:t xml:space="preserve"> </w:t>
      </w:r>
      <w:r w:rsidR="00B5577F">
        <w:rPr>
          <w:rFonts w:ascii="Garamond" w:eastAsia="Times New Roman" w:hAnsi="Garamond" w:cs="Calibri"/>
          <w:sz w:val="24"/>
          <w:szCs w:val="24"/>
          <w:lang w:eastAsia="zh-CN"/>
        </w:rPr>
        <w:t xml:space="preserve"> Naquela data ou naqueles autos o demandante não informou a demandada da venda da habitação, da ausência e/ou da intenção de cessação, total ou parcial, dos serviços contratados.</w:t>
      </w:r>
    </w:p>
    <w:p w14:paraId="142248B1" w14:textId="77777777" w:rsidR="00482071" w:rsidRDefault="00482071" w:rsidP="006310BB">
      <w:pPr>
        <w:suppressAutoHyphens/>
        <w:spacing w:line="360" w:lineRule="auto"/>
        <w:jc w:val="both"/>
        <w:rPr>
          <w:rFonts w:ascii="Garamond" w:hAnsi="Garamond"/>
          <w:b/>
          <w:sz w:val="24"/>
          <w:szCs w:val="24"/>
          <w:highlight w:val="lightGray"/>
          <w:u w:val="single"/>
        </w:rPr>
      </w:pPr>
    </w:p>
    <w:p w14:paraId="6B7D8752" w14:textId="42C82AE4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</w:rPr>
      </w:pPr>
      <w:r w:rsidRPr="006310BB">
        <w:rPr>
          <w:rFonts w:ascii="Garamond" w:eastAsia="Times New Roman" w:hAnsi="Garamond"/>
          <w:b/>
          <w:bCs/>
          <w:sz w:val="24"/>
          <w:szCs w:val="24"/>
          <w:highlight w:val="lightGray"/>
          <w:u w:val="single"/>
          <w:lang w:eastAsia="zh-CN"/>
        </w:rPr>
        <w:t>Não existem outros factos, provados ou não provados, com relevância para esta sentença arbitral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49BD4555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IV. – Motivação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7D19A11F" w14:textId="77777777" w:rsidR="006310BB" w:rsidRPr="006310BB" w:rsidRDefault="006310BB" w:rsidP="006310BB">
      <w:pPr>
        <w:suppressAutoHyphens/>
        <w:spacing w:line="360" w:lineRule="auto"/>
        <w:jc w:val="both"/>
        <w:rPr>
          <w:rFonts w:ascii="Garamond" w:hAnsi="Garamond"/>
          <w:sz w:val="24"/>
          <w:szCs w:val="24"/>
          <w:lang w:eastAsia="zh-CN"/>
        </w:rPr>
      </w:pPr>
      <w:r w:rsidRPr="006310BB">
        <w:rPr>
          <w:rFonts w:ascii="Garamond" w:hAnsi="Garamond"/>
          <w:sz w:val="24"/>
          <w:szCs w:val="24"/>
          <w:lang w:eastAsia="zh-CN"/>
        </w:rPr>
        <w:t xml:space="preserve">Este Tribunal Arbitral </w:t>
      </w:r>
      <w:r w:rsidRPr="006310BB">
        <w:rPr>
          <w:rFonts w:ascii="Garamond" w:hAnsi="Garamond"/>
          <w:b/>
          <w:bCs/>
          <w:sz w:val="24"/>
          <w:szCs w:val="24"/>
          <w:highlight w:val="lightGray"/>
          <w:u w:val="single"/>
          <w:lang w:eastAsia="zh-CN"/>
        </w:rPr>
        <w:t>formou a sua convicção</w:t>
      </w:r>
      <w:r w:rsidRPr="006310BB">
        <w:rPr>
          <w:rFonts w:ascii="Garamond" w:hAnsi="Garamond"/>
          <w:sz w:val="24"/>
          <w:szCs w:val="24"/>
          <w:lang w:eastAsia="zh-CN"/>
        </w:rPr>
        <w:t xml:space="preserve"> do modo seguinte:</w:t>
      </w:r>
    </w:p>
    <w:p w14:paraId="5B471AE5" w14:textId="1FBF0D5B" w:rsidR="006310BB" w:rsidRPr="006310BB" w:rsidRDefault="006310BB" w:rsidP="006310BB">
      <w:pPr>
        <w:numPr>
          <w:ilvl w:val="0"/>
          <w:numId w:val="3"/>
        </w:numPr>
        <w:tabs>
          <w:tab w:val="left" w:pos="284"/>
        </w:tabs>
        <w:suppressAutoHyphens/>
        <w:spacing w:after="0" w:line="360" w:lineRule="auto"/>
        <w:ind w:left="0" w:firstLine="0"/>
        <w:contextualSpacing/>
        <w:jc w:val="both"/>
        <w:rPr>
          <w:rFonts w:ascii="Garamond" w:hAnsi="Garamond"/>
          <w:sz w:val="24"/>
          <w:szCs w:val="24"/>
          <w:lang w:eastAsia="zh-CN"/>
        </w:rPr>
      </w:pPr>
      <w:r w:rsidRPr="006310BB">
        <w:rPr>
          <w:rFonts w:ascii="Garamond" w:hAnsi="Garamond"/>
          <w:sz w:val="24"/>
          <w:szCs w:val="24"/>
          <w:lang w:eastAsia="zh-CN"/>
        </w:rPr>
        <w:t>Quanto aos factos n.ºs 1-2 p</w:t>
      </w:r>
      <w:r w:rsidR="00482071">
        <w:rPr>
          <w:rFonts w:ascii="Garamond" w:hAnsi="Garamond"/>
          <w:sz w:val="24"/>
          <w:szCs w:val="24"/>
          <w:lang w:eastAsia="zh-CN"/>
        </w:rPr>
        <w:t>elo Doc.</w:t>
      </w:r>
      <w:r w:rsidR="00EF32C6">
        <w:rPr>
          <w:rFonts w:ascii="Garamond" w:hAnsi="Garamond"/>
          <w:sz w:val="24"/>
          <w:szCs w:val="24"/>
          <w:lang w:eastAsia="zh-CN"/>
        </w:rPr>
        <w:t>3</w:t>
      </w:r>
      <w:r w:rsidR="00482071">
        <w:rPr>
          <w:rFonts w:ascii="Garamond" w:hAnsi="Garamond"/>
          <w:sz w:val="24"/>
          <w:szCs w:val="24"/>
          <w:lang w:eastAsia="zh-CN"/>
        </w:rPr>
        <w:t xml:space="preserve"> junto aos autos com a contestação;</w:t>
      </w:r>
    </w:p>
    <w:p w14:paraId="51DFAE1D" w14:textId="77777777" w:rsidR="006310BB" w:rsidRPr="006310BB" w:rsidRDefault="006310BB" w:rsidP="006310BB">
      <w:pPr>
        <w:tabs>
          <w:tab w:val="left" w:pos="284"/>
        </w:tabs>
        <w:suppressAutoHyphens/>
        <w:spacing w:after="0" w:line="360" w:lineRule="auto"/>
        <w:contextualSpacing/>
        <w:jc w:val="both"/>
        <w:rPr>
          <w:rFonts w:ascii="Garamond" w:hAnsi="Garamond"/>
          <w:sz w:val="24"/>
          <w:szCs w:val="24"/>
          <w:lang w:eastAsia="zh-CN"/>
        </w:rPr>
      </w:pPr>
    </w:p>
    <w:p w14:paraId="7CF5BEF2" w14:textId="5CD74251" w:rsidR="00482071" w:rsidRPr="00482071" w:rsidRDefault="006310BB" w:rsidP="00482071">
      <w:pPr>
        <w:numPr>
          <w:ilvl w:val="0"/>
          <w:numId w:val="3"/>
        </w:numPr>
        <w:tabs>
          <w:tab w:val="left" w:pos="284"/>
        </w:tabs>
        <w:suppressAutoHyphens/>
        <w:spacing w:after="0" w:line="360" w:lineRule="auto"/>
        <w:ind w:left="0" w:firstLine="0"/>
        <w:contextualSpacing/>
        <w:jc w:val="both"/>
        <w:rPr>
          <w:rFonts w:ascii="Garamond" w:hAnsi="Garamond"/>
          <w:sz w:val="24"/>
          <w:szCs w:val="24"/>
          <w:lang w:eastAsia="zh-CN"/>
        </w:rPr>
      </w:pPr>
      <w:r w:rsidRPr="006310BB">
        <w:rPr>
          <w:rFonts w:ascii="Garamond" w:hAnsi="Garamond"/>
          <w:sz w:val="24"/>
          <w:szCs w:val="24"/>
          <w:lang w:eastAsia="zh-CN"/>
        </w:rPr>
        <w:t>Quanto ao</w:t>
      </w:r>
      <w:r w:rsidR="00482071">
        <w:rPr>
          <w:rFonts w:ascii="Garamond" w:hAnsi="Garamond"/>
          <w:sz w:val="24"/>
          <w:szCs w:val="24"/>
          <w:lang w:eastAsia="zh-CN"/>
        </w:rPr>
        <w:t>s</w:t>
      </w:r>
      <w:r w:rsidRPr="006310BB">
        <w:rPr>
          <w:rFonts w:ascii="Garamond" w:hAnsi="Garamond"/>
          <w:sz w:val="24"/>
          <w:szCs w:val="24"/>
          <w:lang w:eastAsia="zh-CN"/>
        </w:rPr>
        <w:t xml:space="preserve"> facto</w:t>
      </w:r>
      <w:r w:rsidR="00482071">
        <w:rPr>
          <w:rFonts w:ascii="Garamond" w:hAnsi="Garamond"/>
          <w:sz w:val="24"/>
          <w:szCs w:val="24"/>
          <w:lang w:eastAsia="zh-CN"/>
        </w:rPr>
        <w:t>s</w:t>
      </w:r>
      <w:r w:rsidRPr="006310BB">
        <w:rPr>
          <w:rFonts w:ascii="Garamond" w:hAnsi="Garamond"/>
          <w:sz w:val="24"/>
          <w:szCs w:val="24"/>
          <w:lang w:eastAsia="zh-CN"/>
        </w:rPr>
        <w:t xml:space="preserve"> n.º</w:t>
      </w:r>
      <w:r w:rsidR="00482071">
        <w:rPr>
          <w:rFonts w:ascii="Garamond" w:hAnsi="Garamond"/>
          <w:sz w:val="24"/>
          <w:szCs w:val="24"/>
          <w:lang w:eastAsia="zh-CN"/>
        </w:rPr>
        <w:t xml:space="preserve">s </w:t>
      </w:r>
      <w:r w:rsidRPr="006310BB">
        <w:rPr>
          <w:rFonts w:ascii="Garamond" w:hAnsi="Garamond"/>
          <w:sz w:val="24"/>
          <w:szCs w:val="24"/>
          <w:lang w:eastAsia="zh-CN"/>
        </w:rPr>
        <w:t>3</w:t>
      </w:r>
      <w:r w:rsidR="00482071">
        <w:rPr>
          <w:rFonts w:ascii="Garamond" w:hAnsi="Garamond"/>
          <w:sz w:val="24"/>
          <w:szCs w:val="24"/>
          <w:lang w:eastAsia="zh-CN"/>
        </w:rPr>
        <w:t>-4</w:t>
      </w:r>
      <w:r w:rsidRPr="006310BB">
        <w:rPr>
          <w:rFonts w:ascii="Garamond" w:hAnsi="Garamond"/>
          <w:sz w:val="24"/>
          <w:szCs w:val="24"/>
          <w:lang w:eastAsia="zh-CN"/>
        </w:rPr>
        <w:t xml:space="preserve"> por confissão </w:t>
      </w:r>
      <w:r w:rsidR="00482071">
        <w:rPr>
          <w:rFonts w:ascii="Garamond" w:hAnsi="Garamond"/>
          <w:sz w:val="24"/>
          <w:szCs w:val="24"/>
          <w:lang w:eastAsia="zh-CN"/>
        </w:rPr>
        <w:t>do demandante nas declarações de parte prestadas pelo demandante na audiência arbitral;</w:t>
      </w:r>
    </w:p>
    <w:p w14:paraId="39CE8259" w14:textId="77777777" w:rsidR="00482071" w:rsidRDefault="00482071" w:rsidP="00482071">
      <w:pPr>
        <w:tabs>
          <w:tab w:val="left" w:pos="284"/>
        </w:tabs>
        <w:suppressAutoHyphens/>
        <w:spacing w:after="0" w:line="360" w:lineRule="auto"/>
        <w:contextualSpacing/>
        <w:jc w:val="both"/>
        <w:rPr>
          <w:rFonts w:ascii="Garamond" w:hAnsi="Garamond"/>
          <w:sz w:val="24"/>
          <w:szCs w:val="24"/>
          <w:lang w:eastAsia="zh-CN"/>
        </w:rPr>
      </w:pPr>
    </w:p>
    <w:p w14:paraId="62F99B78" w14:textId="6D517EB4" w:rsidR="00EF32C6" w:rsidRDefault="00482071" w:rsidP="00EF32C6">
      <w:pPr>
        <w:numPr>
          <w:ilvl w:val="0"/>
          <w:numId w:val="3"/>
        </w:numPr>
        <w:tabs>
          <w:tab w:val="left" w:pos="284"/>
        </w:tabs>
        <w:suppressAutoHyphens/>
        <w:spacing w:after="0" w:line="360" w:lineRule="auto"/>
        <w:ind w:left="0" w:firstLine="0"/>
        <w:contextualSpacing/>
        <w:jc w:val="both"/>
        <w:rPr>
          <w:rFonts w:ascii="Garamond" w:hAnsi="Garamond"/>
          <w:sz w:val="24"/>
          <w:szCs w:val="24"/>
          <w:lang w:eastAsia="zh-CN"/>
        </w:rPr>
      </w:pPr>
      <w:r>
        <w:rPr>
          <w:rFonts w:ascii="Garamond" w:hAnsi="Garamond"/>
          <w:sz w:val="24"/>
          <w:szCs w:val="24"/>
          <w:lang w:eastAsia="zh-CN"/>
        </w:rPr>
        <w:t>Quanto ao facto n.º5 pelo</w:t>
      </w:r>
      <w:r w:rsidR="00EF32C6">
        <w:rPr>
          <w:rFonts w:ascii="Garamond" w:hAnsi="Garamond"/>
          <w:sz w:val="24"/>
          <w:szCs w:val="24"/>
          <w:lang w:eastAsia="zh-CN"/>
        </w:rPr>
        <w:t>s</w:t>
      </w:r>
      <w:r>
        <w:rPr>
          <w:rFonts w:ascii="Garamond" w:hAnsi="Garamond"/>
          <w:sz w:val="24"/>
          <w:szCs w:val="24"/>
          <w:lang w:eastAsia="zh-CN"/>
        </w:rPr>
        <w:t xml:space="preserve"> Doc</w:t>
      </w:r>
      <w:r w:rsidR="00EF32C6">
        <w:rPr>
          <w:rFonts w:ascii="Garamond" w:hAnsi="Garamond"/>
          <w:sz w:val="24"/>
          <w:szCs w:val="24"/>
          <w:lang w:eastAsia="zh-CN"/>
        </w:rPr>
        <w:t>s</w:t>
      </w:r>
      <w:r>
        <w:rPr>
          <w:rFonts w:ascii="Garamond" w:hAnsi="Garamond"/>
          <w:sz w:val="24"/>
          <w:szCs w:val="24"/>
          <w:lang w:eastAsia="zh-CN"/>
        </w:rPr>
        <w:t>.</w:t>
      </w:r>
      <w:r w:rsidR="00EF32C6">
        <w:rPr>
          <w:rFonts w:ascii="Garamond" w:hAnsi="Garamond"/>
          <w:sz w:val="24"/>
          <w:szCs w:val="24"/>
          <w:lang w:eastAsia="zh-CN"/>
        </w:rPr>
        <w:t>1/3</w:t>
      </w:r>
      <w:r>
        <w:rPr>
          <w:rFonts w:ascii="Garamond" w:hAnsi="Garamond"/>
          <w:sz w:val="24"/>
          <w:szCs w:val="24"/>
          <w:lang w:eastAsia="zh-CN"/>
        </w:rPr>
        <w:t xml:space="preserve"> junto aos autos com a contestação;</w:t>
      </w:r>
    </w:p>
    <w:p w14:paraId="1CCE35AB" w14:textId="77777777" w:rsidR="00EF32C6" w:rsidRDefault="00EF32C6" w:rsidP="00EF32C6">
      <w:pPr>
        <w:pStyle w:val="PargrafodaLista"/>
        <w:rPr>
          <w:rFonts w:ascii="Garamond" w:hAnsi="Garamond"/>
          <w:sz w:val="24"/>
          <w:szCs w:val="24"/>
          <w:lang w:eastAsia="zh-CN"/>
        </w:rPr>
      </w:pPr>
    </w:p>
    <w:p w14:paraId="066E7ABD" w14:textId="77777777" w:rsidR="009C1712" w:rsidRDefault="00EF32C6" w:rsidP="009C1712">
      <w:pPr>
        <w:numPr>
          <w:ilvl w:val="0"/>
          <w:numId w:val="3"/>
        </w:numPr>
        <w:tabs>
          <w:tab w:val="left" w:pos="284"/>
        </w:tabs>
        <w:suppressAutoHyphens/>
        <w:spacing w:after="0" w:line="360" w:lineRule="auto"/>
        <w:ind w:left="0" w:firstLine="0"/>
        <w:contextualSpacing/>
        <w:jc w:val="both"/>
        <w:rPr>
          <w:rFonts w:ascii="Garamond" w:hAnsi="Garamond"/>
          <w:sz w:val="24"/>
          <w:szCs w:val="24"/>
          <w:lang w:eastAsia="zh-CN"/>
        </w:rPr>
      </w:pPr>
      <w:r w:rsidRPr="00EF32C6">
        <w:rPr>
          <w:rFonts w:ascii="Garamond" w:hAnsi="Garamond"/>
          <w:sz w:val="24"/>
          <w:szCs w:val="24"/>
          <w:lang w:eastAsia="zh-CN"/>
        </w:rPr>
        <w:t>Quanto ao facto n.º</w:t>
      </w:r>
      <w:r>
        <w:rPr>
          <w:rFonts w:ascii="Garamond" w:hAnsi="Garamond"/>
          <w:sz w:val="24"/>
          <w:szCs w:val="24"/>
          <w:lang w:eastAsia="zh-CN"/>
        </w:rPr>
        <w:t>6</w:t>
      </w:r>
      <w:r w:rsidRPr="00EF32C6">
        <w:rPr>
          <w:rFonts w:ascii="Garamond" w:hAnsi="Garamond"/>
          <w:sz w:val="24"/>
          <w:szCs w:val="24"/>
          <w:lang w:eastAsia="zh-CN"/>
        </w:rPr>
        <w:t xml:space="preserve"> pelo Doc.2 junto aos autos com a contestação;</w:t>
      </w:r>
    </w:p>
    <w:p w14:paraId="57674A93" w14:textId="77777777" w:rsidR="009C1712" w:rsidRDefault="009C1712" w:rsidP="009C1712">
      <w:pPr>
        <w:pStyle w:val="PargrafodaLista"/>
        <w:rPr>
          <w:rFonts w:ascii="Garamond" w:hAnsi="Garamond"/>
          <w:sz w:val="24"/>
          <w:szCs w:val="24"/>
          <w:lang w:eastAsia="zh-CN"/>
        </w:rPr>
      </w:pPr>
    </w:p>
    <w:p w14:paraId="3D040F3A" w14:textId="04E48BF2" w:rsidR="006310BB" w:rsidRPr="00D03A53" w:rsidRDefault="009C1712" w:rsidP="006310BB">
      <w:pPr>
        <w:numPr>
          <w:ilvl w:val="0"/>
          <w:numId w:val="3"/>
        </w:numPr>
        <w:tabs>
          <w:tab w:val="left" w:pos="284"/>
        </w:tabs>
        <w:suppressAutoHyphens/>
        <w:spacing w:after="0" w:line="360" w:lineRule="auto"/>
        <w:ind w:left="0" w:firstLine="0"/>
        <w:contextualSpacing/>
        <w:jc w:val="both"/>
        <w:rPr>
          <w:rFonts w:ascii="Garamond" w:hAnsi="Garamond"/>
          <w:sz w:val="24"/>
          <w:szCs w:val="24"/>
          <w:lang w:eastAsia="zh-CN"/>
        </w:rPr>
      </w:pPr>
      <w:r w:rsidRPr="009C1712">
        <w:rPr>
          <w:rFonts w:ascii="Garamond" w:hAnsi="Garamond"/>
          <w:sz w:val="24"/>
          <w:szCs w:val="24"/>
          <w:lang w:eastAsia="zh-CN"/>
        </w:rPr>
        <w:t xml:space="preserve">Quanto </w:t>
      </w:r>
      <w:r>
        <w:rPr>
          <w:rFonts w:ascii="Garamond" w:hAnsi="Garamond"/>
          <w:sz w:val="24"/>
          <w:szCs w:val="24"/>
          <w:lang w:eastAsia="zh-CN"/>
        </w:rPr>
        <w:t>ao facto n.º7</w:t>
      </w:r>
      <w:r w:rsidRPr="009C1712">
        <w:rPr>
          <w:rFonts w:ascii="Garamond" w:hAnsi="Garamond"/>
          <w:sz w:val="24"/>
          <w:szCs w:val="24"/>
          <w:lang w:eastAsia="zh-CN"/>
        </w:rPr>
        <w:t xml:space="preserve"> por confissão do demandante nas declarações de parte prestadas pelo demandante na audiência arbitral;</w:t>
      </w:r>
    </w:p>
    <w:p w14:paraId="0799EC43" w14:textId="1EB40697" w:rsidR="00D03A53" w:rsidRDefault="006310BB" w:rsidP="001133BA">
      <w:pPr>
        <w:numPr>
          <w:ilvl w:val="0"/>
          <w:numId w:val="3"/>
        </w:numPr>
        <w:tabs>
          <w:tab w:val="left" w:pos="284"/>
        </w:tabs>
        <w:suppressAutoHyphens/>
        <w:spacing w:after="0" w:line="360" w:lineRule="auto"/>
        <w:ind w:left="0" w:firstLine="0"/>
        <w:contextualSpacing/>
        <w:jc w:val="both"/>
        <w:rPr>
          <w:rFonts w:ascii="Garamond" w:hAnsi="Garamond"/>
          <w:sz w:val="24"/>
          <w:szCs w:val="24"/>
          <w:lang w:eastAsia="zh-CN"/>
        </w:rPr>
      </w:pPr>
      <w:r w:rsidRPr="00D03A53">
        <w:rPr>
          <w:rFonts w:ascii="Garamond" w:hAnsi="Garamond"/>
          <w:sz w:val="24"/>
          <w:szCs w:val="24"/>
          <w:lang w:eastAsia="zh-CN"/>
        </w:rPr>
        <w:t>Quanto ao</w:t>
      </w:r>
      <w:r w:rsidR="00D03A53">
        <w:rPr>
          <w:rFonts w:ascii="Garamond" w:hAnsi="Garamond"/>
          <w:sz w:val="24"/>
          <w:szCs w:val="24"/>
          <w:lang w:eastAsia="zh-CN"/>
        </w:rPr>
        <w:t>s factos n.ºs 8-10</w:t>
      </w:r>
      <w:r w:rsidR="00CC6898">
        <w:rPr>
          <w:rFonts w:ascii="Garamond" w:hAnsi="Garamond"/>
          <w:sz w:val="24"/>
          <w:szCs w:val="24"/>
          <w:lang w:eastAsia="zh-CN"/>
        </w:rPr>
        <w:t xml:space="preserve"> pela consulta dos autos do processo n.º841-2025.</w:t>
      </w:r>
    </w:p>
    <w:p w14:paraId="1F35CC15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6DE3013E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lastRenderedPageBreak/>
        <w:t>A finalidade da prova é a de permitir o conhecimento acerca da verdade dos enunciados fácticos do caso (</w:t>
      </w:r>
      <w:proofErr w:type="spellStart"/>
      <w:r w:rsidRPr="006310BB">
        <w:rPr>
          <w:rFonts w:ascii="Garamond" w:eastAsia="Times New Roman" w:hAnsi="Garamond"/>
          <w:sz w:val="24"/>
          <w:szCs w:val="24"/>
          <w:lang w:eastAsia="zh-CN"/>
        </w:rPr>
        <w:t>cfr</w:t>
      </w:r>
      <w:proofErr w:type="spellEnd"/>
      <w:r w:rsidRPr="006310BB">
        <w:rPr>
          <w:rFonts w:ascii="Garamond" w:eastAsia="Times New Roman" w:hAnsi="Garamond"/>
          <w:sz w:val="24"/>
          <w:szCs w:val="24"/>
          <w:lang w:eastAsia="zh-CN"/>
        </w:rPr>
        <w:t>. Luís Filipe Pires Sousa “Direito Probatório Material Comentado”, Almedina, 2.ª edição, página 11).</w:t>
      </w:r>
    </w:p>
    <w:p w14:paraId="38B38988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AAFF05C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As regras do ónus da prova estão consagradas no 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342.º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do Código Civil nos termos seguintes: “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1. Àquele que invocar um direito cabe fazer a prova dos factos constitutivos do direito alegado. 2. A prova dos factos impeditivos, modificativos ou extintivos do direito invocado compete àquele contra quem a invocação é feita. 3. Em caso de dúvida, os factos devem ser considerados como constitutivos do direito.”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2AA4DDFA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11E49085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Ao demandante competia provar os factos que, segundo a norma substantiva aplicável, servem de pressuposto ao efeito jurídico por ela pretendido, ou seja, terá o ónus de provar os factos constitutivos correspondentes à situação de facto traçada na norma substantiva em que funda a sua pretensão (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342.º/1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do Código Civil). </w:t>
      </w:r>
    </w:p>
    <w:p w14:paraId="088909D9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0C4B80E8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À demandada incumbia a prova dos factos correspondentes à previsão (abstrata), da norma substantiva em que baseia a causa impeditiva, modificativa ou extintiva do efeito jurídico pretendido pelo demandante (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342.º/2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do Código Civil).</w:t>
      </w:r>
    </w:p>
    <w:p w14:paraId="479D0B2A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6EC21DA7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No que se refere ao ónus da prova, é habitual fazer-se a distinção entre ónus da prova subjetivo e objetivo, sendo que o primeiro visa determinar a parte sobre a qual recai o ónus de apresentar a prova de um facto controvertido ao passo que o segundo visa determinar a parte sobre a qual incide o risco da falta de prova desse facto.</w:t>
      </w:r>
    </w:p>
    <w:p w14:paraId="27F86FE1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00E8C6E9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Normalmente o risco da falta de prova de um facto incide sobre a parte onerada com a demonstração desse facto.</w:t>
      </w:r>
    </w:p>
    <w:p w14:paraId="7D2386A6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6F17C60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Para o apuramento da matéria de facto, formação da convicção deste tribunal arbitral e descoberta da verdade material e da justa composição deste litígio arbitral revelaram-se determinantes os meios de prova acima enunciados.</w:t>
      </w:r>
    </w:p>
    <w:p w14:paraId="093D4DD0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0FDEDD5D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3DEE01F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Relativamente à matéria de facto que não resultou provada, cumpre referir, para além do acima exposto, que o tribunal se fundamentou na ponderação de toda a prova produzida e, 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lastRenderedPageBreak/>
        <w:t>bem assim, na total ausência de produção de prova documental e/ou testemunhal suficientemente consistente e segura para considerar como provada a sua realidade, ou seja, relativamente aos factos não provados, cremos que não foi realizada prova suficiente e convincente dos mesmos.</w:t>
      </w:r>
    </w:p>
    <w:p w14:paraId="31491461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B9F8F53" w14:textId="5E1AF58D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Em suma, da prova produzida este tribunal arbitral formou a convicção que demandada</w:t>
      </w:r>
      <w:r w:rsidR="00CC6898">
        <w:rPr>
          <w:rFonts w:ascii="Garamond" w:eastAsia="Times New Roman" w:hAnsi="Garamond"/>
          <w:sz w:val="24"/>
          <w:szCs w:val="24"/>
          <w:lang w:eastAsia="zh-CN"/>
        </w:rPr>
        <w:t xml:space="preserve"> 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logrou cumprir o ónus da prova que recaía sobre si relativamente ao cumprimento dos seus deveres legais e obrigações contratuais de prestadora de um serviço público essencial (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11.º/1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da Lei n.º23/96, de 26/07), designadamente </w:t>
      </w:r>
      <w:r w:rsidR="00CC6898">
        <w:rPr>
          <w:rFonts w:ascii="Garamond" w:eastAsia="Times New Roman" w:hAnsi="Garamond"/>
          <w:sz w:val="24"/>
          <w:szCs w:val="24"/>
          <w:lang w:eastAsia="zh-CN"/>
        </w:rPr>
        <w:t xml:space="preserve">que prestou os 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serviços nos termos contratados, por um lado, e que não está legal e contratualmente obrigada a reembolsar ao demandante </w:t>
      </w:r>
      <w:r w:rsidR="00CC6898">
        <w:rPr>
          <w:rFonts w:ascii="Garamond" w:eastAsia="Times New Roman" w:hAnsi="Garamond"/>
          <w:sz w:val="24"/>
          <w:szCs w:val="24"/>
          <w:lang w:eastAsia="zh-CN"/>
        </w:rPr>
        <w:t>o preço dos serviços pagos após a venda da habitação, por outro.</w:t>
      </w:r>
    </w:p>
    <w:p w14:paraId="134A44F0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2343603D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Sobre o demandante recaía, todavia, o ónus da prova dos factos constitutivos dos direitos alegados, à luz do disposto no 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342.º/1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, do Código Civil.</w:t>
      </w:r>
    </w:p>
    <w:p w14:paraId="6ACFCEB6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13A120E" w14:textId="39A5CB05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Conforme resultou provado suficientemente para este tribunal, o demandante</w:t>
      </w:r>
      <w:r w:rsidR="00F967B8">
        <w:rPr>
          <w:rFonts w:ascii="Garamond" w:eastAsia="Times New Roman" w:hAnsi="Garamond"/>
          <w:sz w:val="24"/>
          <w:szCs w:val="24"/>
          <w:lang w:eastAsia="zh-CN"/>
        </w:rPr>
        <w:t xml:space="preserve"> não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conseguiu provar todos os factos que constituem a causa de pedir do seu pedido</w:t>
      </w:r>
      <w:r w:rsidR="00F967B8">
        <w:rPr>
          <w:rFonts w:ascii="Garamond" w:eastAsia="Times New Roman" w:hAnsi="Garamond"/>
          <w:sz w:val="24"/>
          <w:szCs w:val="24"/>
          <w:lang w:eastAsia="zh-CN"/>
        </w:rPr>
        <w:t xml:space="preserve">, ou seja, a comunicação à demandada da venda da habitação, </w:t>
      </w:r>
      <w:r w:rsidR="00332B7C">
        <w:rPr>
          <w:rFonts w:ascii="Garamond" w:eastAsia="Times New Roman" w:hAnsi="Garamond"/>
          <w:sz w:val="24"/>
          <w:szCs w:val="24"/>
          <w:lang w:eastAsia="zh-CN"/>
        </w:rPr>
        <w:t>a ausência da habitação após a sua venda e a cessação da utilização dos serviços após a venda.</w:t>
      </w:r>
    </w:p>
    <w:p w14:paraId="6BD37953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2AE267FB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V. – Enquadramento de Direito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4ABBC15B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Assentes os factos cumpre aplicar-lhes o direito.</w:t>
      </w:r>
    </w:p>
    <w:p w14:paraId="1FF58A3D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29C51942" w14:textId="04269F1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A questão objeto deste litígio arbitral passa, assim, por analisar a atuação da demandada que originou o litígio entre as partes, e quais as consequências para a mesma decorrente da apreciação deste tribunal, designadamente se estão reunidos os pressupostos legais para ser condenada no</w:t>
      </w:r>
      <w:r w:rsidR="007413C9">
        <w:rPr>
          <w:rFonts w:ascii="Garamond" w:eastAsia="Times New Roman" w:hAnsi="Garamond"/>
          <w:sz w:val="24"/>
          <w:szCs w:val="24"/>
          <w:lang w:eastAsia="zh-CN"/>
        </w:rPr>
        <w:t>s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pedido</w:t>
      </w:r>
      <w:r w:rsidR="007413C9">
        <w:rPr>
          <w:rFonts w:ascii="Garamond" w:eastAsia="Times New Roman" w:hAnsi="Garamond"/>
          <w:sz w:val="24"/>
          <w:szCs w:val="24"/>
          <w:lang w:eastAsia="zh-CN"/>
        </w:rPr>
        <w:t>s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formulado</w:t>
      </w:r>
      <w:r w:rsidR="007413C9">
        <w:rPr>
          <w:rFonts w:ascii="Garamond" w:eastAsia="Times New Roman" w:hAnsi="Garamond"/>
          <w:sz w:val="24"/>
          <w:szCs w:val="24"/>
          <w:lang w:eastAsia="zh-CN"/>
        </w:rPr>
        <w:t>s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pelo demandante. </w:t>
      </w:r>
    </w:p>
    <w:p w14:paraId="0966BD51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57972B7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A Lei n.º23/96, de 26/07, criou “no ordenamento jurídico alguns mecanismos destinados a proteger o utente de serviços públicos essenciais.”.</w:t>
      </w:r>
    </w:p>
    <w:p w14:paraId="5F32A959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3597B77D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i/>
          <w:iCs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lastRenderedPageBreak/>
        <w:t xml:space="preserve">O 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1.º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sob a epígrafe,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 xml:space="preserve">“Objeto e âmbito”, 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dispõe que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 xml:space="preserve">“1 - A presente lei consagra regras a que deve obedecer a prestação de serviços públicos essenciais em ordem à </w:t>
      </w:r>
      <w:proofErr w:type="spellStart"/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protecção</w:t>
      </w:r>
      <w:proofErr w:type="spellEnd"/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 xml:space="preserve"> do utente. 2 - São os seguintes os serviços públicos abrangidos: (…) d) Serviço de comunicações </w:t>
      </w:r>
      <w:proofErr w:type="spellStart"/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electrónicas</w:t>
      </w:r>
      <w:proofErr w:type="spellEnd"/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; (…)”;</w:t>
      </w:r>
    </w:p>
    <w:p w14:paraId="18670F6D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4C79A58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O 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3.º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sob a epígrafe,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 xml:space="preserve">“Princípio geral”, 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dispõe que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“O prestador do serviço deve proceder de boa fé e em conformidade com os ditames que decorram da natureza pública do serviço, tendo igualmente em conta a importância dos interesses dos utentes que se pretende proteger.”.</w:t>
      </w:r>
    </w:p>
    <w:p w14:paraId="38790254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155B1A9F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Esta norma do 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3.º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consagra, então, princípio geral de direito da “Boa-fé”, que se manifesta, igualmente, em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 xml:space="preserve">“inúmeras obras normas legais, que o prestador do serviço aja, na sua relação com o consumidor, segundo os ditames da boa-fé. Esta imposição legal é uma decorrência do estatuído no </w:t>
      </w:r>
      <w:proofErr w:type="spellStart"/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art</w:t>
      </w:r>
      <w:proofErr w:type="spellEnd"/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. 60, n.º1, da Constituição, onde se refere que “os consumidores têm o direito à qualidade dos bens e serviços consumidos, à formação e à informação, à proteção da saúde, da segurança e dos seus interesses económicos, bem como à reparação dos danos.”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– ABREU, Marcelino, Leis dos Serviços Públicos Essenciais, Anotada e Comentada, Nova Causa (Edições Jurídicas), 2017, página 60.</w:t>
      </w:r>
    </w:p>
    <w:p w14:paraId="631911E3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3D02048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i/>
          <w:iCs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O mesmo autor afirma, ainda, que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“Ao impor-se ao prestador do serviço (…), que, na sua relação com o consumidor, se paute de acordo com os ditames da boa-fé, pretendeu o legislador proteger os interesses económicos do utente, nomeadamente do consumidor.”.</w:t>
      </w:r>
    </w:p>
    <w:p w14:paraId="72735CCB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EBBD480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No mesmo sentido sinalizámos, ainda, que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 xml:space="preserve">“Em suma, podemos afirmar que numa relação contratual em que esteja em causa a prestação de um serviço público essencial, o princípio da boa-fé terá, necessariamente, de estar presente enquanto princípio básico das negociações. No entanto, como estás perante contratos com determinas especificidades, ele será complementado pelos deveres/princípios que desta relação fazem parte – da universalidade, continuidade, adaptabilidade, qualidade e segurança e transparência, a par dos deveres de informação, proteção e aconselhamento e diligência que decorrem intrinsecamente do princípio da boa-fé.” – 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SIMÕES, Fernando Dias, ALMEIDA, Mariana Pinheiro, Lei dos Serviços Públicos Essenciais, Anotada e Comentada, Almedina, 2012, página 75.</w:t>
      </w:r>
    </w:p>
    <w:p w14:paraId="16D41CFA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62685A91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iCs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Dispõe o </w:t>
      </w:r>
      <w:r w:rsidRPr="006310BB">
        <w:rPr>
          <w:rFonts w:ascii="Garamond" w:eastAsia="Times New Roman" w:hAnsi="Garamond"/>
          <w:b/>
          <w:sz w:val="24"/>
          <w:szCs w:val="24"/>
          <w:lang w:eastAsia="zh-CN"/>
        </w:rPr>
        <w:t>artigo 4.º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sob epígrafe </w:t>
      </w:r>
      <w:r w:rsidRPr="006310BB">
        <w:rPr>
          <w:rFonts w:ascii="Garamond" w:eastAsia="Times New Roman" w:hAnsi="Garamond"/>
          <w:i/>
          <w:sz w:val="24"/>
          <w:szCs w:val="24"/>
          <w:lang w:eastAsia="zh-CN"/>
        </w:rPr>
        <w:t>“Dever de informação”</w:t>
      </w:r>
      <w:r w:rsidRPr="006310BB">
        <w:rPr>
          <w:rFonts w:ascii="Garamond" w:eastAsia="Times New Roman" w:hAnsi="Garamond"/>
          <w:iCs/>
          <w:sz w:val="24"/>
          <w:szCs w:val="24"/>
          <w:lang w:eastAsia="zh-CN"/>
        </w:rPr>
        <w:t xml:space="preserve">, que </w:t>
      </w:r>
      <w:r w:rsidRPr="006310BB">
        <w:rPr>
          <w:rFonts w:ascii="Garamond" w:eastAsia="Times New Roman" w:hAnsi="Garamond"/>
          <w:i/>
          <w:sz w:val="24"/>
          <w:szCs w:val="24"/>
          <w:lang w:eastAsia="zh-CN"/>
        </w:rPr>
        <w:t>“1 - O prestador do serviço deve informar, de forma clara e conveniente, a outra parte das condições em que o serviço é fornecido e prestar-lhe todos os esclarecimentos que se justifiquem, de acordo com as circunstâncias. (…)”.</w:t>
      </w:r>
    </w:p>
    <w:p w14:paraId="58674BE9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i/>
          <w:sz w:val="24"/>
          <w:szCs w:val="24"/>
          <w:lang w:eastAsia="zh-CN"/>
        </w:rPr>
      </w:pPr>
    </w:p>
    <w:p w14:paraId="0DD7FE51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lastRenderedPageBreak/>
        <w:t xml:space="preserve">Por sua vez, os 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artigos 3.º, 7.º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e 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8.º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da Lei n.º24/96, de 31/07, que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“Estabelece o regime legal aplicável à defesa dos consumidores”,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sob as epígrafes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“Direitos do consumidor”, “Direito à informação em geral” e “Direito à informação em particular”,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consagram, na legislação ordinária, o direito constitucional dos consumidores à informação.</w:t>
      </w:r>
    </w:p>
    <w:p w14:paraId="324426A5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B8B4AC6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i/>
          <w:iCs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O 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3.º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consagra que “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O consumidor tem direito: (…) d) À informação para o consumo;”.</w:t>
      </w:r>
    </w:p>
    <w:p w14:paraId="29C08F08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B3BFE8C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i/>
          <w:iCs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O 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8.º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diz-nos que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“1 - O fornecedor de bens ou prestador de serviços deve, tanto na fase de negociações como na fase de celebração de um contrato, informar o consumidor de forma clara, objetiva e adequada, a não ser que essa informação resulte de forma clara e evidente do contexto, nomeadamente sobre: a) As características principais dos bens ou serviços, tendo em conta o suporte utilizado para o efeito e considerando os bens ou serviços em causa; (…) 8 - O disposto no n.º 1 aplica-se também aos contratos de fornecimento de água, gás ou eletricidade, caso não sejam postos à venda em volume ou quantidade limitados, aos de aquecimento urbano ou aos de conteúdos digitais não fornecidos em suporte material.”.</w:t>
      </w:r>
    </w:p>
    <w:p w14:paraId="27A11621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69DABE96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07CE6F17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É a “outra face da medalha” da “Informação”, que assenta nesta dicotomia “direitos vs. Deveres”.</w:t>
      </w:r>
    </w:p>
    <w:p w14:paraId="15887CBB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3025CE54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Quanto ao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“Dever de informação”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o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 xml:space="preserve">“utente tem que ser informado de modo claro acerca, quer das condições do serviço a contratar, quer acerca das condições do contrato, nomeadamente do preço a pagar, pois só assim formará a sua vontade contratual de forma livre e esclarecida” – 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ABREU, Marcelino, Leis dos Serviços Públicos Essenciais, Anotada e Comentada, Nova Causa (Edições Jurídicas), 2017, página 60.</w:t>
      </w:r>
    </w:p>
    <w:p w14:paraId="35692F6D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1F4D4A4E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Ainda a respeito deste dever este tribunal arbitral acompanha o entendimento de que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 xml:space="preserve">“Não olvidemos que estamos perante relações de consumo caracterizadas por partes que se encontram numa situação de assimetria informacional e tendencialmente económica, pelo que o dever de informação torna-se essencial à declaração consciente da subscrição do contrato. Fácil será compreender que perante situações que pressuponham uma relação de consumo, as partes se situarão em planos e escalas contrárias, guiadas por </w:t>
      </w:r>
      <w:proofErr w:type="spellStart"/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factores</w:t>
      </w:r>
      <w:proofErr w:type="spellEnd"/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 xml:space="preserve"> endógenos distintos, o que conduzirá a um verdadeiro desnivelamento na interpretação do negócio.”. – 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SIMÕES, Fernando Dias, ALMEIDA, Mariana Pinheiro, Lei dos Serviços Públicos Essenciais, Anotada e Comentada, Almedina, 2012, página 78.</w:t>
      </w:r>
    </w:p>
    <w:p w14:paraId="732866C7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6FFBD554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“À semelhança do que referimos ocorrer com o direito à qualidade dos bens e serviços, o direito à informação em particular preconiza uma ideia de prevenção de conflitos e de diferendos. Os profissionais e todas as entidades envolvidas numa relação de consumo estão assim sujeitas a esta obrigação de informar os consumidores dos termos que caracterizam a relação em si, quanto aos objetos e serviços em causa, como ao seu modo de funcionamento, toda a assistência que têm de prestar (…).”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- CARDOSO, </w:t>
      </w:r>
      <w:proofErr w:type="spellStart"/>
      <w:r w:rsidRPr="006310BB">
        <w:rPr>
          <w:rFonts w:ascii="Garamond" w:eastAsia="Times New Roman" w:hAnsi="Garamond"/>
          <w:sz w:val="24"/>
          <w:szCs w:val="24"/>
          <w:lang w:eastAsia="zh-CN"/>
        </w:rPr>
        <w:t>Elionora</w:t>
      </w:r>
      <w:proofErr w:type="spellEnd"/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Lei de Defesa do Consumidor, Comentada e Anotada, Coimbra Editora, 2012, página 94 (comentário ao 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8.º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da Lei n.º24/96, de 31/07).</w:t>
      </w:r>
    </w:p>
    <w:p w14:paraId="2B33ED3B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0220B1B3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i/>
          <w:iCs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Quanto às consequências de uma eventual violação deste direito diz-nos o Acórdão do Supremo Tribunal de Justiça, de </w:t>
      </w:r>
      <w:r w:rsidRPr="006310BB">
        <w:rPr>
          <w:rFonts w:ascii="Garamond" w:eastAsia="Times New Roman" w:hAnsi="Garamond"/>
          <w:sz w:val="24"/>
          <w:szCs w:val="24"/>
          <w:u w:val="single"/>
          <w:lang w:eastAsia="zh-CN"/>
        </w:rPr>
        <w:t>14-01-2003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(referência </w:t>
      </w:r>
      <w:proofErr w:type="spellStart"/>
      <w:r w:rsidRPr="006310BB">
        <w:rPr>
          <w:rFonts w:ascii="Garamond" w:eastAsia="Times New Roman" w:hAnsi="Garamond"/>
          <w:sz w:val="24"/>
          <w:szCs w:val="24"/>
          <w:lang w:eastAsia="zh-CN"/>
        </w:rPr>
        <w:t>JusNet</w:t>
      </w:r>
      <w:proofErr w:type="spellEnd"/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186/2003), que “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(…) E a omissão de esclarecimento sempre constituíra dolo ilícito (dolo omissivo ou negativo), quando exista o dever de elucidar, por força da lei, de estipulação negocial ou das conceções dominantes do comércio jurídico (…)”.</w:t>
      </w:r>
    </w:p>
    <w:p w14:paraId="3B4DDB85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i/>
          <w:iCs/>
          <w:sz w:val="24"/>
          <w:szCs w:val="24"/>
          <w:lang w:eastAsia="zh-CN"/>
        </w:rPr>
      </w:pPr>
    </w:p>
    <w:p w14:paraId="34EB5FB3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i/>
          <w:iCs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No seguimento das normas acima citadas importa invocar, agora, com especial interesse para esta causa arbitral, o que nos diz o 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9.º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sob a epígrafe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“Direito à proteção dos interesses económicos”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da Lei n.º24/94, de 31/07, que reforçando a importância da “Boa-fé” introduz, agora, os conceitos de igualdade material e lealdade na formação e vigência dos contratos: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 xml:space="preserve">“1 - O consumidor tem direito à </w:t>
      </w:r>
      <w:proofErr w:type="spellStart"/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protecção</w:t>
      </w:r>
      <w:proofErr w:type="spellEnd"/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 xml:space="preserve"> dos seus interesses económicos, impondo-se nas relações jurídicas de consumo a igualdade material dos intervenientes, a lealdade e a boa fé, nos preliminares, na formação e ainda na vigência dos contratos. (…).”.</w:t>
      </w:r>
    </w:p>
    <w:p w14:paraId="44C33377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0F9A231E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Esta norma consagra, assim, o direito do consumidor à proteção dos seus interesses económicos, funcionando como uma cláusula geral de tutela contra práticas comerciais lesivas, estabelecendo um princípio geral de que o fornecedor de bens ou prestador de serviços deve agir de acordo com: a) boa-fé; c) equilíbrio das prestações; e c) lealdade nas relações contratuais.</w:t>
      </w:r>
    </w:p>
    <w:p w14:paraId="2741E2EF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25ABA4AC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Esta norma densifica o princípio da boa-fé objetiva, reforça o preceito constitucional de justiça contratual material (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60.º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, da CRP), e assegura uma lógica de proteção da parte débil, maior ainda quando se trata de serviço público essencial, como é o caso.</w:t>
      </w:r>
    </w:p>
    <w:p w14:paraId="44D916A7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746D909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lastRenderedPageBreak/>
        <w:t xml:space="preserve">O enquadramento constitucional do 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9.º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deve ainda ser compreendido à luz do modelo de Constituição económica acolhido pela CRP.  A ordem económica constitucional portuguesa não se limita a reconhecer a liberdade de iniciativa privada (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>artigo 61.º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da CRP), antes a subordina a princípios estruturantes como a justiça social, a defesa dos consumidores e a correção das desigualdades. </w:t>
      </w:r>
    </w:p>
    <w:p w14:paraId="54011C57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9A908ED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A proteção do consumidor surge, assim, como limite imanente à autonomia privada e à liberdade contratual, operando como mecanismo de harmonização entre liberdade de empresa e tutela da parte vulnerável.</w:t>
      </w:r>
    </w:p>
    <w:p w14:paraId="74C84556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4218DAE5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Daqui resulta, então, que consumidor não pode ser colocado numa posição contratual desproporcionada ou exploratória.</w:t>
      </w:r>
    </w:p>
    <w:p w14:paraId="4E925756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F2D5768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Nas palavras de David Falcão este direito é </w:t>
      </w:r>
      <w:r w:rsidRPr="006310BB">
        <w:rPr>
          <w:rFonts w:ascii="Garamond" w:eastAsia="Times New Roman" w:hAnsi="Garamond"/>
          <w:i/>
          <w:iCs/>
          <w:sz w:val="24"/>
          <w:szCs w:val="24"/>
          <w:lang w:eastAsia="zh-CN"/>
        </w:rPr>
        <w:t>“tido como o mais relevante no que à tutela do consumidor diz respeito, pois tem o propósito de promover a igualdade nas relações de consumo, na medida em que determina, que a formação e a vigência dos contratos, se subordinem aos deveres de lealdade e de boa-fé.”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– FALCÃO, David, Lições de Direito do Consumo, Almedina, 2019, página 45.</w:t>
      </w:r>
    </w:p>
    <w:p w14:paraId="697F1076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29CC2A2" w14:textId="3CCE2790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Aplicando, então, o direito à matéria de facto que resultou provada e não provada este tribunal conclui, desde logo, que a demandada </w:t>
      </w:r>
      <w:r w:rsidR="007413C9">
        <w:rPr>
          <w:rFonts w:ascii="Garamond" w:eastAsia="Times New Roman" w:hAnsi="Garamond"/>
          <w:sz w:val="24"/>
          <w:szCs w:val="24"/>
          <w:lang w:eastAsia="zh-CN"/>
        </w:rPr>
        <w:t xml:space="preserve">não 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violou o seu dever legal de informação, enquanto prestadora de serviço público essencial, procedeu com lealdade e boa-fé,</w:t>
      </w:r>
      <w:r w:rsidR="007413C9">
        <w:rPr>
          <w:rFonts w:ascii="Garamond" w:eastAsia="Times New Roman" w:hAnsi="Garamond"/>
          <w:sz w:val="24"/>
          <w:szCs w:val="24"/>
          <w:lang w:eastAsia="zh-CN"/>
        </w:rPr>
        <w:t xml:space="preserve"> não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violou os direitos do demandante à informação em particular do serviço solicitado e, sobretudo, teve em linha de conta os interesses do demandante, designadamente os económicos, na medida em que todos os atos praticados respeitam o quadro legal acima enunciado e as suas obrigações legais. </w:t>
      </w:r>
    </w:p>
    <w:p w14:paraId="62E39C4D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0F0173B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t>VI. – Decisão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25B8036F" w14:textId="3BAD0230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Assim, em face do exposto, </w:t>
      </w:r>
      <w:r w:rsidRPr="006310BB">
        <w:rPr>
          <w:rFonts w:ascii="Garamond" w:eastAsia="Times New Roman" w:hAnsi="Garamond"/>
          <w:b/>
          <w:sz w:val="24"/>
          <w:szCs w:val="24"/>
          <w:highlight w:val="lightGray"/>
          <w:u w:val="single"/>
          <w:lang w:eastAsia="zh-CN"/>
        </w:rPr>
        <w:t xml:space="preserve">julgo totalmente </w:t>
      </w:r>
      <w:r w:rsidR="007413C9">
        <w:rPr>
          <w:rFonts w:ascii="Garamond" w:eastAsia="Times New Roman" w:hAnsi="Garamond"/>
          <w:b/>
          <w:sz w:val="24"/>
          <w:szCs w:val="24"/>
          <w:highlight w:val="lightGray"/>
          <w:u w:val="single"/>
          <w:lang w:eastAsia="zh-CN"/>
        </w:rPr>
        <w:t>im</w:t>
      </w:r>
      <w:r w:rsidRPr="006310BB">
        <w:rPr>
          <w:rFonts w:ascii="Garamond" w:eastAsia="Times New Roman" w:hAnsi="Garamond"/>
          <w:b/>
          <w:sz w:val="24"/>
          <w:szCs w:val="24"/>
          <w:highlight w:val="lightGray"/>
          <w:u w:val="single"/>
          <w:lang w:eastAsia="zh-CN"/>
        </w:rPr>
        <w:t xml:space="preserve">procedente, por </w:t>
      </w:r>
      <w:r w:rsidR="007413C9">
        <w:rPr>
          <w:rFonts w:ascii="Garamond" w:eastAsia="Times New Roman" w:hAnsi="Garamond"/>
          <w:b/>
          <w:sz w:val="24"/>
          <w:szCs w:val="24"/>
          <w:highlight w:val="lightGray"/>
          <w:u w:val="single"/>
          <w:lang w:eastAsia="zh-CN"/>
        </w:rPr>
        <w:t xml:space="preserve">não </w:t>
      </w:r>
      <w:r w:rsidRPr="006310BB">
        <w:rPr>
          <w:rFonts w:ascii="Garamond" w:eastAsia="Times New Roman" w:hAnsi="Garamond"/>
          <w:b/>
          <w:sz w:val="24"/>
          <w:szCs w:val="24"/>
          <w:highlight w:val="lightGray"/>
          <w:u w:val="single"/>
          <w:lang w:eastAsia="zh-CN"/>
        </w:rPr>
        <w:t>provada, a presente ação arbitral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e, consequentemente, </w:t>
      </w:r>
      <w:r w:rsidR="007413C9">
        <w:rPr>
          <w:rFonts w:ascii="Garamond" w:eastAsia="Times New Roman" w:hAnsi="Garamond"/>
          <w:b/>
          <w:bCs/>
          <w:sz w:val="24"/>
          <w:szCs w:val="24"/>
          <w:highlight w:val="lightGray"/>
          <w:u w:val="single"/>
          <w:lang w:eastAsia="zh-CN"/>
        </w:rPr>
        <w:t>absolvo a demandada do pedido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tudo nos termos e com os efeitos previstos no </w:t>
      </w:r>
      <w:r w:rsidRPr="006310BB">
        <w:rPr>
          <w:rFonts w:ascii="Garamond" w:eastAsia="Times New Roman" w:hAnsi="Garamond"/>
          <w:b/>
          <w:sz w:val="24"/>
          <w:szCs w:val="24"/>
          <w:lang w:eastAsia="zh-CN"/>
        </w:rPr>
        <w:t>artigo 18.º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2A050C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1F687A5D" w14:textId="77777777" w:rsid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6292F3EC" w14:textId="77777777" w:rsidR="000E1718" w:rsidRDefault="000E1718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54987390" w14:textId="77777777" w:rsidR="000E1718" w:rsidRPr="006310BB" w:rsidRDefault="000E1718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062B0EBE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b/>
          <w:sz w:val="24"/>
          <w:szCs w:val="24"/>
          <w:highlight w:val="lightGray"/>
          <w:lang w:eastAsia="zh-CN"/>
        </w:rPr>
        <w:lastRenderedPageBreak/>
        <w:t>VII. – Depósito da decisão arbitral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:</w:t>
      </w:r>
    </w:p>
    <w:p w14:paraId="3CE1310B" w14:textId="64137C6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O valor da causa fixa-se, assim, em </w:t>
      </w:r>
      <w:r w:rsidRPr="006310BB">
        <w:rPr>
          <w:rFonts w:ascii="Garamond" w:eastAsia="Times New Roman" w:hAnsi="Garamond"/>
          <w:b/>
          <w:sz w:val="24"/>
          <w:szCs w:val="24"/>
          <w:u w:val="single"/>
          <w:lang w:eastAsia="zh-CN"/>
        </w:rPr>
        <w:t>€</w:t>
      </w:r>
      <w:r w:rsidR="000E1718">
        <w:rPr>
          <w:rFonts w:ascii="Garamond" w:eastAsia="Times New Roman" w:hAnsi="Garamond"/>
          <w:b/>
          <w:sz w:val="24"/>
          <w:szCs w:val="24"/>
          <w:u w:val="single"/>
          <w:lang w:eastAsia="zh-CN"/>
        </w:rPr>
        <w:t>1.000,00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(</w:t>
      </w:r>
      <w:r w:rsidR="000E1718">
        <w:rPr>
          <w:rFonts w:ascii="Garamond" w:eastAsia="Times New Roman" w:hAnsi="Garamond"/>
          <w:sz w:val="24"/>
          <w:szCs w:val="24"/>
          <w:lang w:eastAsia="zh-CN"/>
        </w:rPr>
        <w:t>mil euros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), nos termos dos </w:t>
      </w:r>
      <w:r w:rsidRPr="006310BB">
        <w:rPr>
          <w:rFonts w:ascii="Garamond" w:eastAsiaTheme="minorHAnsi" w:hAnsi="Garamond" w:cstheme="minorBidi"/>
          <w:b/>
          <w:sz w:val="24"/>
          <w:szCs w:val="24"/>
        </w:rPr>
        <w:t>artigos 297.º/1</w:t>
      </w:r>
      <w:r w:rsidRPr="006310BB">
        <w:rPr>
          <w:rFonts w:ascii="Garamond" w:eastAsiaTheme="minorHAnsi" w:hAnsi="Garamond" w:cstheme="minorBidi"/>
          <w:sz w:val="24"/>
          <w:szCs w:val="24"/>
        </w:rPr>
        <w:t xml:space="preserve"> e </w:t>
      </w:r>
      <w:r w:rsidRPr="006310BB">
        <w:rPr>
          <w:rFonts w:ascii="Garamond" w:eastAsiaTheme="minorHAnsi" w:hAnsi="Garamond" w:cstheme="minorBidi"/>
          <w:b/>
          <w:bCs/>
          <w:sz w:val="24"/>
          <w:szCs w:val="24"/>
        </w:rPr>
        <w:t>299.º</w:t>
      </w:r>
      <w:r w:rsidRPr="006310BB">
        <w:rPr>
          <w:rFonts w:ascii="Garamond" w:eastAsiaTheme="minorHAnsi" w:hAnsi="Garamond" w:cstheme="minorBidi"/>
          <w:sz w:val="24"/>
          <w:szCs w:val="24"/>
        </w:rPr>
        <w:t xml:space="preserve">, ambos do CPC, 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por remissão do </w:t>
      </w:r>
      <w:r w:rsidRPr="006310BB">
        <w:rPr>
          <w:rFonts w:ascii="Garamond" w:eastAsia="Times New Roman" w:hAnsi="Garamond"/>
          <w:b/>
          <w:sz w:val="24"/>
          <w:szCs w:val="24"/>
          <w:lang w:eastAsia="zh-CN"/>
        </w:rPr>
        <w:t>artigo 27.º/3</w:t>
      </w:r>
      <w:r w:rsidRPr="006310BB">
        <w:rPr>
          <w:rFonts w:ascii="Garamond" w:eastAsia="Times New Roman" w:hAnsi="Garamond"/>
          <w:bCs/>
          <w:sz w:val="24"/>
          <w:szCs w:val="24"/>
          <w:lang w:eastAsia="zh-CN"/>
        </w:rPr>
        <w:t>,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do Regulamento do </w:t>
      </w:r>
      <w:r w:rsidR="002A050C">
        <w:rPr>
          <w:rFonts w:ascii="Garamond" w:eastAsia="Times New Roman" w:hAnsi="Garamond"/>
          <w:sz w:val="24"/>
          <w:szCs w:val="24"/>
          <w:lang w:eastAsia="zh-CN"/>
        </w:rPr>
        <w:t>CNIACC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para o Código de Processo Civil, com os fundamentos acima enunciados.</w:t>
      </w:r>
    </w:p>
    <w:p w14:paraId="2623384F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u w:val="single"/>
          <w:lang w:eastAsia="zh-CN"/>
        </w:rPr>
      </w:pPr>
    </w:p>
    <w:p w14:paraId="3033E2DA" w14:textId="7039B084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u w:val="single"/>
          <w:lang w:eastAsia="zh-CN"/>
        </w:rPr>
        <w:t>Notifiquem-se as partes com cópia desta decisão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e </w:t>
      </w:r>
      <w:r w:rsidRPr="006310BB">
        <w:rPr>
          <w:rFonts w:ascii="Garamond" w:eastAsia="Times New Roman" w:hAnsi="Garamond"/>
          <w:sz w:val="24"/>
          <w:szCs w:val="24"/>
          <w:u w:val="single"/>
          <w:lang w:eastAsia="zh-CN"/>
        </w:rPr>
        <w:t xml:space="preserve">deposite-se o seu original no </w:t>
      </w:r>
      <w:r w:rsidR="002A050C">
        <w:rPr>
          <w:rFonts w:ascii="Garamond" w:eastAsia="Times New Roman" w:hAnsi="Garamond"/>
          <w:sz w:val="24"/>
          <w:szCs w:val="24"/>
          <w:u w:val="single"/>
          <w:lang w:eastAsia="zh-CN"/>
        </w:rPr>
        <w:t>CNIACC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 xml:space="preserve"> nos termos do </w:t>
      </w:r>
      <w:r w:rsidRPr="006310BB">
        <w:rPr>
          <w:rFonts w:ascii="Garamond" w:eastAsia="Times New Roman" w:hAnsi="Garamond"/>
          <w:b/>
          <w:bCs/>
          <w:sz w:val="24"/>
          <w:szCs w:val="24"/>
          <w:lang w:eastAsia="zh-CN"/>
        </w:rPr>
        <w:t xml:space="preserve">artigo 18.º </w:t>
      </w:r>
      <w:r w:rsidRPr="006310BB">
        <w:rPr>
          <w:rFonts w:ascii="Garamond" w:eastAsia="Times New Roman" w:hAnsi="Garamond"/>
          <w:sz w:val="24"/>
          <w:szCs w:val="24"/>
          <w:lang w:eastAsia="zh-CN"/>
        </w:rPr>
        <w:t>do referido regulamento.</w:t>
      </w:r>
    </w:p>
    <w:p w14:paraId="519288DB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7D991438" w14:textId="01C7B198" w:rsidR="006310BB" w:rsidRPr="006310BB" w:rsidRDefault="002A050C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>
        <w:rPr>
          <w:rFonts w:ascii="Garamond" w:eastAsia="Times New Roman" w:hAnsi="Garamond"/>
          <w:b/>
          <w:sz w:val="24"/>
          <w:szCs w:val="24"/>
          <w:lang w:eastAsia="zh-CN"/>
        </w:rPr>
        <w:t>Braga</w:t>
      </w:r>
      <w:r w:rsidR="006310BB" w:rsidRPr="006310BB">
        <w:rPr>
          <w:rFonts w:ascii="Garamond" w:eastAsia="Times New Roman" w:hAnsi="Garamond"/>
          <w:sz w:val="24"/>
          <w:szCs w:val="24"/>
          <w:lang w:eastAsia="zh-CN"/>
        </w:rPr>
        <w:t xml:space="preserve">, </w:t>
      </w:r>
      <w:r w:rsidR="006310BB" w:rsidRPr="006310BB">
        <w:rPr>
          <w:rFonts w:ascii="Garamond" w:eastAsia="Times New Roman" w:hAnsi="Garamond"/>
          <w:sz w:val="24"/>
          <w:szCs w:val="24"/>
          <w:u w:val="single"/>
          <w:lang w:eastAsia="zh-CN"/>
        </w:rPr>
        <w:t>2</w:t>
      </w:r>
      <w:r w:rsidR="009C4893">
        <w:rPr>
          <w:rFonts w:ascii="Garamond" w:eastAsia="Times New Roman" w:hAnsi="Garamond"/>
          <w:sz w:val="24"/>
          <w:szCs w:val="24"/>
          <w:u w:val="single"/>
          <w:lang w:eastAsia="zh-CN"/>
        </w:rPr>
        <w:t>9</w:t>
      </w:r>
      <w:r w:rsidR="006310BB" w:rsidRPr="006310BB">
        <w:rPr>
          <w:rFonts w:ascii="Garamond" w:eastAsia="Times New Roman" w:hAnsi="Garamond"/>
          <w:sz w:val="24"/>
          <w:szCs w:val="24"/>
          <w:u w:val="single"/>
          <w:lang w:eastAsia="zh-CN"/>
        </w:rPr>
        <w:t>-07-2026</w:t>
      </w:r>
      <w:r w:rsidR="006310BB" w:rsidRPr="006310BB">
        <w:rPr>
          <w:rFonts w:ascii="Garamond" w:eastAsia="Times New Roman" w:hAnsi="Garamond"/>
          <w:sz w:val="24"/>
          <w:szCs w:val="24"/>
          <w:lang w:eastAsia="zh-CN"/>
        </w:rPr>
        <w:t>.</w:t>
      </w:r>
    </w:p>
    <w:p w14:paraId="74A9A04D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b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b/>
          <w:sz w:val="24"/>
          <w:szCs w:val="24"/>
          <w:lang w:eastAsia="zh-CN"/>
        </w:rPr>
        <w:t xml:space="preserve">O Árbitro, </w:t>
      </w:r>
    </w:p>
    <w:p w14:paraId="2A77A2D5" w14:textId="77777777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  <w:r w:rsidRPr="006310BB">
        <w:rPr>
          <w:rFonts w:ascii="Garamond" w:eastAsia="Times New Roman" w:hAnsi="Garamond"/>
          <w:sz w:val="24"/>
          <w:szCs w:val="24"/>
          <w:lang w:eastAsia="zh-CN"/>
        </w:rPr>
        <w:t>Alexandre Maciel,</w:t>
      </w:r>
    </w:p>
    <w:p w14:paraId="4AAE9EC5" w14:textId="31A59B0A" w:rsidR="006310BB" w:rsidRPr="006310BB" w:rsidRDefault="006310BB" w:rsidP="006310BB">
      <w:pPr>
        <w:suppressAutoHyphens/>
        <w:spacing w:after="0" w:line="360" w:lineRule="auto"/>
        <w:jc w:val="both"/>
        <w:rPr>
          <w:rFonts w:ascii="Garamond" w:eastAsia="Times New Roman" w:hAnsi="Garamond"/>
          <w:sz w:val="24"/>
          <w:szCs w:val="24"/>
          <w:lang w:eastAsia="zh-CN"/>
        </w:rPr>
      </w:pPr>
    </w:p>
    <w:p w14:paraId="280DB9CB" w14:textId="77777777" w:rsidR="006310BB" w:rsidRPr="006310BB" w:rsidRDefault="006310BB" w:rsidP="006310BB">
      <w:pPr>
        <w:rPr>
          <w:rFonts w:ascii="Garamond" w:hAnsi="Garamond"/>
          <w:sz w:val="24"/>
          <w:szCs w:val="24"/>
        </w:rPr>
      </w:pPr>
    </w:p>
    <w:p w14:paraId="6DA1333B" w14:textId="1A35C2C6" w:rsidR="008864F0" w:rsidRPr="00B95A36" w:rsidRDefault="008864F0" w:rsidP="00B95A36"/>
    <w:sectPr w:rsidR="008864F0" w:rsidRPr="00B95A36" w:rsidSect="00E85648">
      <w:headerReference w:type="default" r:id="rId7"/>
      <w:footerReference w:type="default" r:id="rId8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BEBB7" w14:textId="77777777" w:rsidR="00C5072C" w:rsidRDefault="00C5072C" w:rsidP="00EE7A5E">
      <w:pPr>
        <w:spacing w:after="0" w:line="240" w:lineRule="auto"/>
      </w:pPr>
      <w:r>
        <w:separator/>
      </w:r>
    </w:p>
  </w:endnote>
  <w:endnote w:type="continuationSeparator" w:id="0">
    <w:p w14:paraId="6CDF84A4" w14:textId="77777777" w:rsidR="00C5072C" w:rsidRDefault="00C5072C" w:rsidP="00EE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0AA0" w14:textId="77777777" w:rsidR="00EE7A5E" w:rsidRDefault="00EE7A5E">
    <w:pPr>
      <w:pStyle w:val="Rodap"/>
    </w:pPr>
  </w:p>
  <w:p w14:paraId="67AC5F8F" w14:textId="77777777" w:rsidR="00EE7A5E" w:rsidRDefault="00EE7A5E">
    <w:pPr>
      <w:pStyle w:val="Rodap"/>
    </w:pPr>
  </w:p>
  <w:p w14:paraId="5ADADD12" w14:textId="77777777" w:rsidR="005A00B4" w:rsidRPr="004D1A71" w:rsidRDefault="005A00B4" w:rsidP="005A00B4">
    <w:pPr>
      <w:pStyle w:val="Rodap"/>
      <w:jc w:val="center"/>
      <w:rPr>
        <w:b/>
      </w:rPr>
    </w:pPr>
    <w:r w:rsidRPr="004D1A71">
      <w:rPr>
        <w:b/>
      </w:rPr>
      <w:t xml:space="preserve">CNIACC – Centro </w:t>
    </w:r>
    <w:r>
      <w:rPr>
        <w:b/>
      </w:rPr>
      <w:t xml:space="preserve">Nacional de Informação </w:t>
    </w:r>
    <w:r w:rsidRPr="004D1A71">
      <w:rPr>
        <w:b/>
      </w:rPr>
      <w:t xml:space="preserve">e Arbitragem de </w:t>
    </w:r>
    <w:r>
      <w:rPr>
        <w:b/>
      </w:rPr>
      <w:t xml:space="preserve">Conflitos de </w:t>
    </w:r>
    <w:r w:rsidRPr="004D1A71">
      <w:rPr>
        <w:b/>
      </w:rPr>
      <w:t>Consumo</w:t>
    </w:r>
  </w:p>
  <w:p w14:paraId="195FD980" w14:textId="77777777" w:rsidR="005A00B4" w:rsidRDefault="005A00B4" w:rsidP="005A00B4">
    <w:pPr>
      <w:pStyle w:val="Rodap"/>
      <w:jc w:val="center"/>
    </w:pPr>
    <w:r>
      <w:t>Rua D. Afonso Henriques, nº 1  4700 – 030 Braga</w:t>
    </w:r>
  </w:p>
  <w:p w14:paraId="0D27D4CD" w14:textId="77777777" w:rsidR="005A00B4" w:rsidRDefault="005A00B4" w:rsidP="005A00B4">
    <w:pPr>
      <w:pStyle w:val="Rodap"/>
      <w:jc w:val="center"/>
    </w:pPr>
    <w:r>
      <w:t>Tl:253 619 </w:t>
    </w:r>
    <w:r w:rsidR="003F23EA">
      <w:t>1</w:t>
    </w:r>
    <w:r>
      <w:t>07       Email: geral</w:t>
    </w:r>
    <w:r>
      <w:rPr>
        <w:rFonts w:cstheme="minorHAnsi"/>
      </w:rPr>
      <w:t>@</w:t>
    </w:r>
    <w:r>
      <w:t>cniacc.pt</w:t>
    </w:r>
  </w:p>
  <w:p w14:paraId="4C1B7305" w14:textId="77777777" w:rsidR="005A00B4" w:rsidRDefault="005A00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E4E72" w14:textId="77777777" w:rsidR="00C5072C" w:rsidRDefault="00C5072C" w:rsidP="00EE7A5E">
      <w:pPr>
        <w:spacing w:after="0" w:line="240" w:lineRule="auto"/>
      </w:pPr>
      <w:r>
        <w:separator/>
      </w:r>
    </w:p>
  </w:footnote>
  <w:footnote w:type="continuationSeparator" w:id="0">
    <w:p w14:paraId="36FE58D7" w14:textId="77777777" w:rsidR="00C5072C" w:rsidRDefault="00C5072C" w:rsidP="00EE7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A384A" w14:textId="68CC9BD7" w:rsidR="00EE7A5E" w:rsidRDefault="00122DA2">
    <w:pPr>
      <w:pStyle w:val="Cabealho"/>
    </w:pPr>
    <w:r w:rsidRPr="00401C6A">
      <w:rPr>
        <w:noProof/>
      </w:rPr>
      <w:drawing>
        <wp:anchor distT="0" distB="0" distL="114300" distR="114300" simplePos="0" relativeHeight="251660288" behindDoc="0" locked="0" layoutInCell="1" allowOverlap="1" wp14:anchorId="14918812" wp14:editId="00292569">
          <wp:simplePos x="0" y="0"/>
          <wp:positionH relativeFrom="column">
            <wp:posOffset>4825365</wp:posOffset>
          </wp:positionH>
          <wp:positionV relativeFrom="paragraph">
            <wp:posOffset>-442279</wp:posOffset>
          </wp:positionV>
          <wp:extent cx="1409618" cy="777240"/>
          <wp:effectExtent l="0" t="0" r="635" b="3810"/>
          <wp:wrapSquare wrapText="bothSides"/>
          <wp:docPr id="35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618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9BF0B2F" wp14:editId="7FC0365E">
          <wp:simplePos x="0" y="0"/>
          <wp:positionH relativeFrom="column">
            <wp:posOffset>-899160</wp:posOffset>
          </wp:positionH>
          <wp:positionV relativeFrom="paragraph">
            <wp:posOffset>-354330</wp:posOffset>
          </wp:positionV>
          <wp:extent cx="2600325" cy="828675"/>
          <wp:effectExtent l="0" t="0" r="9525" b="9525"/>
          <wp:wrapTight wrapText="bothSides">
            <wp:wrapPolygon edited="0">
              <wp:start x="4431" y="0"/>
              <wp:lineTo x="3323" y="497"/>
              <wp:lineTo x="633" y="6455"/>
              <wp:lineTo x="0" y="11421"/>
              <wp:lineTo x="0" y="13903"/>
              <wp:lineTo x="3640" y="21352"/>
              <wp:lineTo x="4431" y="21352"/>
              <wp:lineTo x="4589" y="21352"/>
              <wp:lineTo x="6013" y="16386"/>
              <wp:lineTo x="21521" y="15393"/>
              <wp:lineTo x="21521" y="993"/>
              <wp:lineTo x="6013" y="0"/>
              <wp:lineTo x="4431" y="0"/>
            </wp:wrapPolygon>
          </wp:wrapTight>
          <wp:docPr id="36" name="Imagem 36" descr="C:\Users\utilizador\AppData\Local\Microsoft\Windows\INetCache\Content.Word\CNIAC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ador\AppData\Local\Microsoft\Windows\INetCache\Content.Word\CNIACC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37FF"/>
    <w:multiLevelType w:val="hybridMultilevel"/>
    <w:tmpl w:val="6BBEF8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47812"/>
    <w:multiLevelType w:val="hybridMultilevel"/>
    <w:tmpl w:val="BCCEB1FA"/>
    <w:lvl w:ilvl="0" w:tplc="D1F2D9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E7221"/>
    <w:multiLevelType w:val="hybridMultilevel"/>
    <w:tmpl w:val="B5DADB04"/>
    <w:lvl w:ilvl="0" w:tplc="C89CBB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14916"/>
    <w:multiLevelType w:val="hybridMultilevel"/>
    <w:tmpl w:val="2ACEA5D8"/>
    <w:lvl w:ilvl="0" w:tplc="ED4AEA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720C0"/>
    <w:multiLevelType w:val="hybridMultilevel"/>
    <w:tmpl w:val="588EC556"/>
    <w:lvl w:ilvl="0" w:tplc="0B50518E">
      <w:start w:val="1"/>
      <w:numFmt w:val="decimal"/>
      <w:lvlText w:val="%1."/>
      <w:lvlJc w:val="left"/>
      <w:pPr>
        <w:ind w:left="578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298" w:hanging="360"/>
      </w:pPr>
    </w:lvl>
    <w:lvl w:ilvl="2" w:tplc="0816001B" w:tentative="1">
      <w:start w:val="1"/>
      <w:numFmt w:val="lowerRoman"/>
      <w:lvlText w:val="%3."/>
      <w:lvlJc w:val="right"/>
      <w:pPr>
        <w:ind w:left="2018" w:hanging="180"/>
      </w:pPr>
    </w:lvl>
    <w:lvl w:ilvl="3" w:tplc="0816000F" w:tentative="1">
      <w:start w:val="1"/>
      <w:numFmt w:val="decimal"/>
      <w:lvlText w:val="%4."/>
      <w:lvlJc w:val="left"/>
      <w:pPr>
        <w:ind w:left="2738" w:hanging="360"/>
      </w:pPr>
    </w:lvl>
    <w:lvl w:ilvl="4" w:tplc="08160019" w:tentative="1">
      <w:start w:val="1"/>
      <w:numFmt w:val="lowerLetter"/>
      <w:lvlText w:val="%5."/>
      <w:lvlJc w:val="left"/>
      <w:pPr>
        <w:ind w:left="3458" w:hanging="360"/>
      </w:pPr>
    </w:lvl>
    <w:lvl w:ilvl="5" w:tplc="0816001B" w:tentative="1">
      <w:start w:val="1"/>
      <w:numFmt w:val="lowerRoman"/>
      <w:lvlText w:val="%6."/>
      <w:lvlJc w:val="right"/>
      <w:pPr>
        <w:ind w:left="4178" w:hanging="180"/>
      </w:pPr>
    </w:lvl>
    <w:lvl w:ilvl="6" w:tplc="0816000F" w:tentative="1">
      <w:start w:val="1"/>
      <w:numFmt w:val="decimal"/>
      <w:lvlText w:val="%7."/>
      <w:lvlJc w:val="left"/>
      <w:pPr>
        <w:ind w:left="4898" w:hanging="360"/>
      </w:pPr>
    </w:lvl>
    <w:lvl w:ilvl="7" w:tplc="08160019" w:tentative="1">
      <w:start w:val="1"/>
      <w:numFmt w:val="lowerLetter"/>
      <w:lvlText w:val="%8."/>
      <w:lvlJc w:val="left"/>
      <w:pPr>
        <w:ind w:left="5618" w:hanging="360"/>
      </w:pPr>
    </w:lvl>
    <w:lvl w:ilvl="8" w:tplc="08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1EEA1DF5"/>
    <w:multiLevelType w:val="hybridMultilevel"/>
    <w:tmpl w:val="B4C46E42"/>
    <w:lvl w:ilvl="0" w:tplc="0816000F">
      <w:start w:val="1"/>
      <w:numFmt w:val="decimal"/>
      <w:lvlText w:val="%1."/>
      <w:lvlJc w:val="left"/>
      <w:pPr>
        <w:ind w:left="-77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-54" w:hanging="360"/>
      </w:pPr>
    </w:lvl>
    <w:lvl w:ilvl="2" w:tplc="0816001B" w:tentative="1">
      <w:start w:val="1"/>
      <w:numFmt w:val="lowerRoman"/>
      <w:lvlText w:val="%3."/>
      <w:lvlJc w:val="right"/>
      <w:pPr>
        <w:ind w:left="666" w:hanging="180"/>
      </w:pPr>
    </w:lvl>
    <w:lvl w:ilvl="3" w:tplc="0816000F" w:tentative="1">
      <w:start w:val="1"/>
      <w:numFmt w:val="decimal"/>
      <w:lvlText w:val="%4."/>
      <w:lvlJc w:val="left"/>
      <w:pPr>
        <w:ind w:left="1386" w:hanging="360"/>
      </w:pPr>
    </w:lvl>
    <w:lvl w:ilvl="4" w:tplc="08160019" w:tentative="1">
      <w:start w:val="1"/>
      <w:numFmt w:val="lowerLetter"/>
      <w:lvlText w:val="%5."/>
      <w:lvlJc w:val="left"/>
      <w:pPr>
        <w:ind w:left="2106" w:hanging="360"/>
      </w:pPr>
    </w:lvl>
    <w:lvl w:ilvl="5" w:tplc="0816001B" w:tentative="1">
      <w:start w:val="1"/>
      <w:numFmt w:val="lowerRoman"/>
      <w:lvlText w:val="%6."/>
      <w:lvlJc w:val="right"/>
      <w:pPr>
        <w:ind w:left="2826" w:hanging="180"/>
      </w:pPr>
    </w:lvl>
    <w:lvl w:ilvl="6" w:tplc="0816000F" w:tentative="1">
      <w:start w:val="1"/>
      <w:numFmt w:val="decimal"/>
      <w:lvlText w:val="%7."/>
      <w:lvlJc w:val="left"/>
      <w:pPr>
        <w:ind w:left="3546" w:hanging="360"/>
      </w:pPr>
    </w:lvl>
    <w:lvl w:ilvl="7" w:tplc="08160019" w:tentative="1">
      <w:start w:val="1"/>
      <w:numFmt w:val="lowerLetter"/>
      <w:lvlText w:val="%8."/>
      <w:lvlJc w:val="left"/>
      <w:pPr>
        <w:ind w:left="4266" w:hanging="360"/>
      </w:pPr>
    </w:lvl>
    <w:lvl w:ilvl="8" w:tplc="08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208416C9"/>
    <w:multiLevelType w:val="hybridMultilevel"/>
    <w:tmpl w:val="A5B800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D2250"/>
    <w:multiLevelType w:val="hybridMultilevel"/>
    <w:tmpl w:val="055E517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F7E3B"/>
    <w:multiLevelType w:val="hybridMultilevel"/>
    <w:tmpl w:val="D06C56B0"/>
    <w:lvl w:ilvl="0" w:tplc="09F203D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65B80"/>
    <w:multiLevelType w:val="hybridMultilevel"/>
    <w:tmpl w:val="92B4965A"/>
    <w:lvl w:ilvl="0" w:tplc="8928421C">
      <w:start w:val="1"/>
      <w:numFmt w:val="decimal"/>
      <w:lvlText w:val="%1."/>
      <w:lvlJc w:val="left"/>
      <w:pPr>
        <w:ind w:left="-774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-54" w:hanging="360"/>
      </w:pPr>
    </w:lvl>
    <w:lvl w:ilvl="2" w:tplc="0816001B" w:tentative="1">
      <w:start w:val="1"/>
      <w:numFmt w:val="lowerRoman"/>
      <w:lvlText w:val="%3."/>
      <w:lvlJc w:val="right"/>
      <w:pPr>
        <w:ind w:left="666" w:hanging="180"/>
      </w:pPr>
    </w:lvl>
    <w:lvl w:ilvl="3" w:tplc="0816000F" w:tentative="1">
      <w:start w:val="1"/>
      <w:numFmt w:val="decimal"/>
      <w:lvlText w:val="%4."/>
      <w:lvlJc w:val="left"/>
      <w:pPr>
        <w:ind w:left="1386" w:hanging="360"/>
      </w:pPr>
    </w:lvl>
    <w:lvl w:ilvl="4" w:tplc="08160019" w:tentative="1">
      <w:start w:val="1"/>
      <w:numFmt w:val="lowerLetter"/>
      <w:lvlText w:val="%5."/>
      <w:lvlJc w:val="left"/>
      <w:pPr>
        <w:ind w:left="2106" w:hanging="360"/>
      </w:pPr>
    </w:lvl>
    <w:lvl w:ilvl="5" w:tplc="0816001B" w:tentative="1">
      <w:start w:val="1"/>
      <w:numFmt w:val="lowerRoman"/>
      <w:lvlText w:val="%6."/>
      <w:lvlJc w:val="right"/>
      <w:pPr>
        <w:ind w:left="2826" w:hanging="180"/>
      </w:pPr>
    </w:lvl>
    <w:lvl w:ilvl="6" w:tplc="0816000F" w:tentative="1">
      <w:start w:val="1"/>
      <w:numFmt w:val="decimal"/>
      <w:lvlText w:val="%7."/>
      <w:lvlJc w:val="left"/>
      <w:pPr>
        <w:ind w:left="3546" w:hanging="360"/>
      </w:pPr>
    </w:lvl>
    <w:lvl w:ilvl="7" w:tplc="08160019" w:tentative="1">
      <w:start w:val="1"/>
      <w:numFmt w:val="lowerLetter"/>
      <w:lvlText w:val="%8."/>
      <w:lvlJc w:val="left"/>
      <w:pPr>
        <w:ind w:left="4266" w:hanging="360"/>
      </w:pPr>
    </w:lvl>
    <w:lvl w:ilvl="8" w:tplc="08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0" w15:restartNumberingAfterBreak="0">
    <w:nsid w:val="34BC5E8D"/>
    <w:multiLevelType w:val="hybridMultilevel"/>
    <w:tmpl w:val="8C2CEF98"/>
    <w:lvl w:ilvl="0" w:tplc="198ECEE8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4575D3"/>
    <w:multiLevelType w:val="hybridMultilevel"/>
    <w:tmpl w:val="0EA4EF2C"/>
    <w:lvl w:ilvl="0" w:tplc="274A9A2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75771"/>
    <w:multiLevelType w:val="hybridMultilevel"/>
    <w:tmpl w:val="A718B4E4"/>
    <w:lvl w:ilvl="0" w:tplc="1BDE68F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02157"/>
    <w:multiLevelType w:val="hybridMultilevel"/>
    <w:tmpl w:val="87A8A646"/>
    <w:lvl w:ilvl="0" w:tplc="4BFC63A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95EDF"/>
    <w:multiLevelType w:val="hybridMultilevel"/>
    <w:tmpl w:val="2FA6455C"/>
    <w:lvl w:ilvl="0" w:tplc="9D2E6A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5A6DBC"/>
    <w:multiLevelType w:val="hybridMultilevel"/>
    <w:tmpl w:val="DCBA8D6C"/>
    <w:lvl w:ilvl="0" w:tplc="9340663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083571"/>
    <w:multiLevelType w:val="hybridMultilevel"/>
    <w:tmpl w:val="7DD0F28E"/>
    <w:lvl w:ilvl="0" w:tplc="F530B512">
      <w:start w:val="1"/>
      <w:numFmt w:val="decimal"/>
      <w:lvlText w:val="%1."/>
      <w:lvlJc w:val="left"/>
      <w:pPr>
        <w:ind w:left="76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684C67F6"/>
    <w:multiLevelType w:val="hybridMultilevel"/>
    <w:tmpl w:val="DB7268D8"/>
    <w:lvl w:ilvl="0" w:tplc="7DF8107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D86D2B"/>
    <w:multiLevelType w:val="hybridMultilevel"/>
    <w:tmpl w:val="8762417E"/>
    <w:lvl w:ilvl="0" w:tplc="FEC2FC8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9031F0"/>
    <w:multiLevelType w:val="hybridMultilevel"/>
    <w:tmpl w:val="862CA53A"/>
    <w:lvl w:ilvl="0" w:tplc="345629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611FF7"/>
    <w:multiLevelType w:val="hybridMultilevel"/>
    <w:tmpl w:val="91CE01D2"/>
    <w:lvl w:ilvl="0" w:tplc="2864F3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8C408E"/>
    <w:multiLevelType w:val="hybridMultilevel"/>
    <w:tmpl w:val="A5B8002A"/>
    <w:lvl w:ilvl="0" w:tplc="A7ACDF8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028260">
    <w:abstractNumId w:val="3"/>
  </w:num>
  <w:num w:numId="2" w16cid:durableId="545291779">
    <w:abstractNumId w:val="0"/>
  </w:num>
  <w:num w:numId="3" w16cid:durableId="1718043624">
    <w:abstractNumId w:val="14"/>
  </w:num>
  <w:num w:numId="4" w16cid:durableId="2101483398">
    <w:abstractNumId w:val="7"/>
  </w:num>
  <w:num w:numId="5" w16cid:durableId="441806139">
    <w:abstractNumId w:val="14"/>
  </w:num>
  <w:num w:numId="6" w16cid:durableId="1788624246">
    <w:abstractNumId w:val="5"/>
  </w:num>
  <w:num w:numId="7" w16cid:durableId="1925215714">
    <w:abstractNumId w:val="9"/>
  </w:num>
  <w:num w:numId="8" w16cid:durableId="265818062">
    <w:abstractNumId w:val="2"/>
  </w:num>
  <w:num w:numId="9" w16cid:durableId="935552156">
    <w:abstractNumId w:val="1"/>
  </w:num>
  <w:num w:numId="10" w16cid:durableId="5690060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23605903">
    <w:abstractNumId w:val="10"/>
  </w:num>
  <w:num w:numId="12" w16cid:durableId="32659051">
    <w:abstractNumId w:val="19"/>
  </w:num>
  <w:num w:numId="13" w16cid:durableId="1073890253">
    <w:abstractNumId w:val="17"/>
  </w:num>
  <w:num w:numId="14" w16cid:durableId="1497304765">
    <w:abstractNumId w:val="20"/>
  </w:num>
  <w:num w:numId="15" w16cid:durableId="840125528">
    <w:abstractNumId w:val="18"/>
  </w:num>
  <w:num w:numId="16" w16cid:durableId="1914699910">
    <w:abstractNumId w:val="16"/>
  </w:num>
  <w:num w:numId="17" w16cid:durableId="775752983">
    <w:abstractNumId w:val="13"/>
  </w:num>
  <w:num w:numId="18" w16cid:durableId="85927772">
    <w:abstractNumId w:val="21"/>
  </w:num>
  <w:num w:numId="19" w16cid:durableId="1479153991">
    <w:abstractNumId w:val="4"/>
  </w:num>
  <w:num w:numId="20" w16cid:durableId="1353459915">
    <w:abstractNumId w:val="6"/>
  </w:num>
  <w:num w:numId="21" w16cid:durableId="425591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911986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879780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65952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604792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A5E"/>
    <w:rsid w:val="00001351"/>
    <w:rsid w:val="0000146B"/>
    <w:rsid w:val="00027EFB"/>
    <w:rsid w:val="000609A0"/>
    <w:rsid w:val="00063921"/>
    <w:rsid w:val="00067704"/>
    <w:rsid w:val="0008071B"/>
    <w:rsid w:val="000841F4"/>
    <w:rsid w:val="000848B6"/>
    <w:rsid w:val="00095DE9"/>
    <w:rsid w:val="000A21C8"/>
    <w:rsid w:val="000A6CBF"/>
    <w:rsid w:val="000A79FC"/>
    <w:rsid w:val="000B2E2C"/>
    <w:rsid w:val="000C155F"/>
    <w:rsid w:val="000C3E79"/>
    <w:rsid w:val="000E1718"/>
    <w:rsid w:val="000F3854"/>
    <w:rsid w:val="000F49D1"/>
    <w:rsid w:val="001063F0"/>
    <w:rsid w:val="00106D19"/>
    <w:rsid w:val="00122DA2"/>
    <w:rsid w:val="001314C8"/>
    <w:rsid w:val="00145982"/>
    <w:rsid w:val="00147A98"/>
    <w:rsid w:val="00156967"/>
    <w:rsid w:val="00160FA2"/>
    <w:rsid w:val="0017084D"/>
    <w:rsid w:val="00173F61"/>
    <w:rsid w:val="001754CF"/>
    <w:rsid w:val="00177493"/>
    <w:rsid w:val="00195050"/>
    <w:rsid w:val="001A016E"/>
    <w:rsid w:val="001A36B4"/>
    <w:rsid w:val="001C2D9E"/>
    <w:rsid w:val="001D4D1D"/>
    <w:rsid w:val="001F4CDE"/>
    <w:rsid w:val="001F75FD"/>
    <w:rsid w:val="00201EA6"/>
    <w:rsid w:val="00210B98"/>
    <w:rsid w:val="002142A3"/>
    <w:rsid w:val="00220CB3"/>
    <w:rsid w:val="002534BD"/>
    <w:rsid w:val="002539C0"/>
    <w:rsid w:val="002544FC"/>
    <w:rsid w:val="0025545B"/>
    <w:rsid w:val="00291CA1"/>
    <w:rsid w:val="00292017"/>
    <w:rsid w:val="002A050C"/>
    <w:rsid w:val="002A4E4C"/>
    <w:rsid w:val="002B0446"/>
    <w:rsid w:val="002B0B9A"/>
    <w:rsid w:val="002B3281"/>
    <w:rsid w:val="002C0AD6"/>
    <w:rsid w:val="002F1B4E"/>
    <w:rsid w:val="002F5F43"/>
    <w:rsid w:val="00302233"/>
    <w:rsid w:val="00321950"/>
    <w:rsid w:val="00323B07"/>
    <w:rsid w:val="0032643B"/>
    <w:rsid w:val="00332B7C"/>
    <w:rsid w:val="00344C30"/>
    <w:rsid w:val="00352F8F"/>
    <w:rsid w:val="00353B10"/>
    <w:rsid w:val="00355F29"/>
    <w:rsid w:val="00357ACC"/>
    <w:rsid w:val="00372DDF"/>
    <w:rsid w:val="00373FFC"/>
    <w:rsid w:val="00381D89"/>
    <w:rsid w:val="003856F0"/>
    <w:rsid w:val="003932DE"/>
    <w:rsid w:val="003B10EE"/>
    <w:rsid w:val="003B4545"/>
    <w:rsid w:val="003B78A9"/>
    <w:rsid w:val="003C42F2"/>
    <w:rsid w:val="003C4D9A"/>
    <w:rsid w:val="003D4370"/>
    <w:rsid w:val="003F23EA"/>
    <w:rsid w:val="003F5080"/>
    <w:rsid w:val="00401C6A"/>
    <w:rsid w:val="00406985"/>
    <w:rsid w:val="004143D5"/>
    <w:rsid w:val="00427E0E"/>
    <w:rsid w:val="004322F5"/>
    <w:rsid w:val="0046274B"/>
    <w:rsid w:val="0046474B"/>
    <w:rsid w:val="00465D22"/>
    <w:rsid w:val="0046728D"/>
    <w:rsid w:val="004819B9"/>
    <w:rsid w:val="00482071"/>
    <w:rsid w:val="00487CA4"/>
    <w:rsid w:val="00496749"/>
    <w:rsid w:val="004C28E7"/>
    <w:rsid w:val="004C3E87"/>
    <w:rsid w:val="004C52AA"/>
    <w:rsid w:val="004D39D8"/>
    <w:rsid w:val="004D7382"/>
    <w:rsid w:val="004E612E"/>
    <w:rsid w:val="004E748D"/>
    <w:rsid w:val="004F220D"/>
    <w:rsid w:val="005049F9"/>
    <w:rsid w:val="005053A3"/>
    <w:rsid w:val="005079A6"/>
    <w:rsid w:val="005127F7"/>
    <w:rsid w:val="00517B66"/>
    <w:rsid w:val="00534827"/>
    <w:rsid w:val="0054445D"/>
    <w:rsid w:val="00552E12"/>
    <w:rsid w:val="00555B75"/>
    <w:rsid w:val="00557AC6"/>
    <w:rsid w:val="00563D35"/>
    <w:rsid w:val="00567986"/>
    <w:rsid w:val="00570D6F"/>
    <w:rsid w:val="00572DFC"/>
    <w:rsid w:val="0059359B"/>
    <w:rsid w:val="005A00B4"/>
    <w:rsid w:val="005B39CB"/>
    <w:rsid w:val="005C2509"/>
    <w:rsid w:val="005D0E05"/>
    <w:rsid w:val="005E215E"/>
    <w:rsid w:val="005E5340"/>
    <w:rsid w:val="005F058B"/>
    <w:rsid w:val="005F6A0C"/>
    <w:rsid w:val="00600828"/>
    <w:rsid w:val="00612E71"/>
    <w:rsid w:val="00614213"/>
    <w:rsid w:val="006222B1"/>
    <w:rsid w:val="006310BB"/>
    <w:rsid w:val="00631FA0"/>
    <w:rsid w:val="00637245"/>
    <w:rsid w:val="00681042"/>
    <w:rsid w:val="006A140E"/>
    <w:rsid w:val="006A2AF4"/>
    <w:rsid w:val="006A5F08"/>
    <w:rsid w:val="006B3313"/>
    <w:rsid w:val="006B4B59"/>
    <w:rsid w:val="006B7254"/>
    <w:rsid w:val="006B7E2B"/>
    <w:rsid w:val="006D7B3D"/>
    <w:rsid w:val="006E0F7A"/>
    <w:rsid w:val="00700A75"/>
    <w:rsid w:val="00702267"/>
    <w:rsid w:val="00704FCD"/>
    <w:rsid w:val="007054CA"/>
    <w:rsid w:val="00706BF0"/>
    <w:rsid w:val="00717998"/>
    <w:rsid w:val="00733275"/>
    <w:rsid w:val="007407E4"/>
    <w:rsid w:val="007413C9"/>
    <w:rsid w:val="007422D3"/>
    <w:rsid w:val="00756A2D"/>
    <w:rsid w:val="00761B3F"/>
    <w:rsid w:val="00762EEA"/>
    <w:rsid w:val="00766672"/>
    <w:rsid w:val="00775F05"/>
    <w:rsid w:val="00776511"/>
    <w:rsid w:val="00793486"/>
    <w:rsid w:val="007959EF"/>
    <w:rsid w:val="007D1DEC"/>
    <w:rsid w:val="007D3128"/>
    <w:rsid w:val="007E0F8D"/>
    <w:rsid w:val="007F166F"/>
    <w:rsid w:val="007F5A78"/>
    <w:rsid w:val="00802183"/>
    <w:rsid w:val="00806940"/>
    <w:rsid w:val="00810055"/>
    <w:rsid w:val="0081739C"/>
    <w:rsid w:val="00820DAF"/>
    <w:rsid w:val="0085136A"/>
    <w:rsid w:val="00871907"/>
    <w:rsid w:val="008728C9"/>
    <w:rsid w:val="008864F0"/>
    <w:rsid w:val="00890FC3"/>
    <w:rsid w:val="008A3510"/>
    <w:rsid w:val="008B7D57"/>
    <w:rsid w:val="008F40B9"/>
    <w:rsid w:val="009141C2"/>
    <w:rsid w:val="00921E51"/>
    <w:rsid w:val="00926F15"/>
    <w:rsid w:val="00933BBB"/>
    <w:rsid w:val="009344C0"/>
    <w:rsid w:val="00940520"/>
    <w:rsid w:val="00942C13"/>
    <w:rsid w:val="00956BE9"/>
    <w:rsid w:val="009709EB"/>
    <w:rsid w:val="00971DAD"/>
    <w:rsid w:val="009C1712"/>
    <w:rsid w:val="009C4893"/>
    <w:rsid w:val="009D141B"/>
    <w:rsid w:val="009F5601"/>
    <w:rsid w:val="00A00117"/>
    <w:rsid w:val="00A04DD4"/>
    <w:rsid w:val="00A050DD"/>
    <w:rsid w:val="00A13CD1"/>
    <w:rsid w:val="00A31EC8"/>
    <w:rsid w:val="00A85BD9"/>
    <w:rsid w:val="00A9258D"/>
    <w:rsid w:val="00A971C9"/>
    <w:rsid w:val="00AA1F30"/>
    <w:rsid w:val="00AA3FA1"/>
    <w:rsid w:val="00AA5C7D"/>
    <w:rsid w:val="00AB7318"/>
    <w:rsid w:val="00AC023D"/>
    <w:rsid w:val="00AC358D"/>
    <w:rsid w:val="00AE5F49"/>
    <w:rsid w:val="00B022D3"/>
    <w:rsid w:val="00B04CC0"/>
    <w:rsid w:val="00B11DE8"/>
    <w:rsid w:val="00B301A6"/>
    <w:rsid w:val="00B31513"/>
    <w:rsid w:val="00B3730D"/>
    <w:rsid w:val="00B42E16"/>
    <w:rsid w:val="00B45954"/>
    <w:rsid w:val="00B5577F"/>
    <w:rsid w:val="00B6124A"/>
    <w:rsid w:val="00B62E5A"/>
    <w:rsid w:val="00B95A36"/>
    <w:rsid w:val="00BA736B"/>
    <w:rsid w:val="00BC6B5C"/>
    <w:rsid w:val="00BE4ED4"/>
    <w:rsid w:val="00BF0250"/>
    <w:rsid w:val="00BF3F89"/>
    <w:rsid w:val="00C0164F"/>
    <w:rsid w:val="00C0186F"/>
    <w:rsid w:val="00C0226A"/>
    <w:rsid w:val="00C22CEA"/>
    <w:rsid w:val="00C27EB3"/>
    <w:rsid w:val="00C30203"/>
    <w:rsid w:val="00C338B5"/>
    <w:rsid w:val="00C41245"/>
    <w:rsid w:val="00C459AA"/>
    <w:rsid w:val="00C5072C"/>
    <w:rsid w:val="00C80AAB"/>
    <w:rsid w:val="00C824FE"/>
    <w:rsid w:val="00C94F83"/>
    <w:rsid w:val="00CB5F6B"/>
    <w:rsid w:val="00CC154C"/>
    <w:rsid w:val="00CC1AC9"/>
    <w:rsid w:val="00CC2EB1"/>
    <w:rsid w:val="00CC4962"/>
    <w:rsid w:val="00CC53FA"/>
    <w:rsid w:val="00CC6898"/>
    <w:rsid w:val="00CE1EA3"/>
    <w:rsid w:val="00D03A53"/>
    <w:rsid w:val="00D11A97"/>
    <w:rsid w:val="00D16A5F"/>
    <w:rsid w:val="00D25019"/>
    <w:rsid w:val="00D3729C"/>
    <w:rsid w:val="00D61093"/>
    <w:rsid w:val="00D62430"/>
    <w:rsid w:val="00D66462"/>
    <w:rsid w:val="00D807EF"/>
    <w:rsid w:val="00D82336"/>
    <w:rsid w:val="00D94EA7"/>
    <w:rsid w:val="00DB1CA8"/>
    <w:rsid w:val="00DB2C48"/>
    <w:rsid w:val="00DC3A6A"/>
    <w:rsid w:val="00DE50C8"/>
    <w:rsid w:val="00DF2DF0"/>
    <w:rsid w:val="00DF70A2"/>
    <w:rsid w:val="00DF77C0"/>
    <w:rsid w:val="00E070A8"/>
    <w:rsid w:val="00E21803"/>
    <w:rsid w:val="00E32719"/>
    <w:rsid w:val="00E34AF5"/>
    <w:rsid w:val="00E42602"/>
    <w:rsid w:val="00E45A1D"/>
    <w:rsid w:val="00E46586"/>
    <w:rsid w:val="00E52C67"/>
    <w:rsid w:val="00E619AC"/>
    <w:rsid w:val="00E805A8"/>
    <w:rsid w:val="00E85648"/>
    <w:rsid w:val="00E94E7A"/>
    <w:rsid w:val="00EA04B7"/>
    <w:rsid w:val="00EC75B1"/>
    <w:rsid w:val="00ED519A"/>
    <w:rsid w:val="00ED62FE"/>
    <w:rsid w:val="00EE07FD"/>
    <w:rsid w:val="00EE35B5"/>
    <w:rsid w:val="00EE7A5E"/>
    <w:rsid w:val="00EF32C6"/>
    <w:rsid w:val="00EF3AC0"/>
    <w:rsid w:val="00EF502E"/>
    <w:rsid w:val="00F0366A"/>
    <w:rsid w:val="00F6591B"/>
    <w:rsid w:val="00F77AF4"/>
    <w:rsid w:val="00F967B8"/>
    <w:rsid w:val="00F96F34"/>
    <w:rsid w:val="00FA22B3"/>
    <w:rsid w:val="00FB5CF3"/>
    <w:rsid w:val="00FB6AA7"/>
    <w:rsid w:val="00FC2712"/>
    <w:rsid w:val="00FD3FC6"/>
    <w:rsid w:val="00FF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91FC2"/>
  <w15:chartTrackingRefBased/>
  <w15:docId w15:val="{EFDB6E6E-C7CA-48B6-BE95-B713000F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DA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E7A5E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EE7A5E"/>
  </w:style>
  <w:style w:type="paragraph" w:styleId="Rodap">
    <w:name w:val="footer"/>
    <w:basedOn w:val="Normal"/>
    <w:link w:val="RodapCarter"/>
    <w:uiPriority w:val="99"/>
    <w:unhideWhenUsed/>
    <w:rsid w:val="00EE7A5E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EE7A5E"/>
  </w:style>
  <w:style w:type="paragraph" w:customStyle="1" w:styleId="Default">
    <w:name w:val="Default"/>
    <w:qFormat/>
    <w:rsid w:val="00122DA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122DA2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PT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122DA2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PargrafodaLista">
    <w:name w:val="List Paragraph"/>
    <w:basedOn w:val="Normal"/>
    <w:uiPriority w:val="34"/>
    <w:qFormat/>
    <w:rsid w:val="002C0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6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13</Pages>
  <Words>3822</Words>
  <Characters>20642</Characters>
  <Application>Microsoft Office Word</Application>
  <DocSecurity>0</DocSecurity>
  <Lines>172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CNIACC Tribunal Arbitral de Consumo</cp:lastModifiedBy>
  <cp:revision>37</cp:revision>
  <dcterms:created xsi:type="dcterms:W3CDTF">2026-07-29T16:59:00Z</dcterms:created>
  <dcterms:modified xsi:type="dcterms:W3CDTF">2026-08-13T14:05:00Z</dcterms:modified>
</cp:coreProperties>
</file>