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2DD4" w14:textId="77777777" w:rsidR="00D010E4" w:rsidRPr="003D34E5" w:rsidRDefault="00D010E4" w:rsidP="00D010E4">
      <w:pPr>
        <w:spacing w:line="360" w:lineRule="auto"/>
        <w:jc w:val="center"/>
        <w:rPr>
          <w:rFonts w:ascii="Garamond" w:hAnsi="Garamond"/>
          <w:bCs/>
          <w:sz w:val="24"/>
          <w:szCs w:val="24"/>
        </w:rPr>
      </w:pPr>
      <w:r w:rsidRPr="003D34E5">
        <w:rPr>
          <w:rFonts w:ascii="Garamond" w:hAnsi="Garamond"/>
          <w:bCs/>
          <w:sz w:val="24"/>
          <w:szCs w:val="24"/>
        </w:rPr>
        <w:t>-</w:t>
      </w:r>
      <w:r w:rsidRPr="003D34E5">
        <w:rPr>
          <w:rFonts w:ascii="Garamond" w:hAnsi="Garamond"/>
          <w:b/>
          <w:sz w:val="24"/>
          <w:szCs w:val="24"/>
          <w:highlight w:val="lightGray"/>
          <w:u w:val="single"/>
        </w:rPr>
        <w:t>Sentença Arbitral</w:t>
      </w:r>
      <w:r w:rsidRPr="003D34E5">
        <w:rPr>
          <w:rFonts w:ascii="Garamond" w:hAnsi="Garamond"/>
          <w:bCs/>
          <w:sz w:val="24"/>
          <w:szCs w:val="24"/>
        </w:rPr>
        <w:t>-</w:t>
      </w:r>
    </w:p>
    <w:p w14:paraId="46A9D443" w14:textId="3A0A562B" w:rsidR="00D010E4" w:rsidRPr="003D34E5" w:rsidRDefault="00D010E4" w:rsidP="00D010E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b/>
          <w:sz w:val="24"/>
          <w:szCs w:val="24"/>
          <w:highlight w:val="lightGray"/>
        </w:rPr>
        <w:t xml:space="preserve">Processo de Arbitragem n.º </w:t>
      </w:r>
      <w:r w:rsidR="007F5701" w:rsidRPr="003D34E5">
        <w:rPr>
          <w:rFonts w:ascii="Garamond" w:hAnsi="Garamond"/>
          <w:b/>
          <w:sz w:val="24"/>
          <w:szCs w:val="24"/>
          <w:highlight w:val="lightGray"/>
        </w:rPr>
        <w:t>804</w:t>
      </w:r>
      <w:r w:rsidRPr="003D34E5">
        <w:rPr>
          <w:rFonts w:ascii="Garamond" w:hAnsi="Garamond"/>
          <w:b/>
          <w:sz w:val="24"/>
          <w:szCs w:val="24"/>
          <w:highlight w:val="lightGray"/>
        </w:rPr>
        <w:t>_202</w:t>
      </w:r>
      <w:r w:rsidR="007F5701" w:rsidRPr="003D34E5">
        <w:rPr>
          <w:rFonts w:ascii="Garamond" w:hAnsi="Garamond"/>
          <w:b/>
          <w:sz w:val="24"/>
          <w:szCs w:val="24"/>
          <w:highlight w:val="lightGray"/>
        </w:rPr>
        <w:t>6</w:t>
      </w:r>
      <w:r w:rsidRPr="003D34E5">
        <w:rPr>
          <w:rFonts w:ascii="Garamond" w:hAnsi="Garamond"/>
          <w:sz w:val="24"/>
          <w:szCs w:val="24"/>
        </w:rPr>
        <w:t>.</w:t>
      </w:r>
    </w:p>
    <w:p w14:paraId="7C40FBA8" w14:textId="4800AA8F" w:rsidR="00D010E4" w:rsidRPr="003D34E5" w:rsidRDefault="00D010E4" w:rsidP="00D010E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bCs/>
          <w:sz w:val="24"/>
          <w:szCs w:val="24"/>
        </w:rPr>
        <w:t>Demandante:</w:t>
      </w:r>
      <w:r w:rsidRPr="003D34E5">
        <w:rPr>
          <w:rFonts w:ascii="Garamond" w:hAnsi="Garamond"/>
          <w:sz w:val="24"/>
          <w:szCs w:val="24"/>
        </w:rPr>
        <w:t xml:space="preserve"> </w:t>
      </w:r>
      <w:bookmarkStart w:id="0" w:name="_Hlk193822607"/>
      <w:r w:rsidR="00455E0A">
        <w:rPr>
          <w:rFonts w:ascii="Garamond" w:hAnsi="Garamond"/>
          <w:b/>
          <w:bCs/>
          <w:sz w:val="24"/>
          <w:szCs w:val="24"/>
        </w:rPr>
        <w:t>A.</w:t>
      </w:r>
    </w:p>
    <w:bookmarkEnd w:id="0"/>
    <w:p w14:paraId="64035CC2" w14:textId="00D1EB39" w:rsidR="00D010E4" w:rsidRPr="003D34E5" w:rsidRDefault="00D010E4" w:rsidP="00D010E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bCs/>
          <w:sz w:val="24"/>
          <w:szCs w:val="24"/>
        </w:rPr>
        <w:t>Demandada:</w:t>
      </w:r>
      <w:r w:rsidRPr="003D34E5">
        <w:rPr>
          <w:rFonts w:ascii="Garamond" w:hAnsi="Garamond"/>
          <w:sz w:val="24"/>
          <w:szCs w:val="24"/>
        </w:rPr>
        <w:t xml:space="preserve"> </w:t>
      </w:r>
      <w:r w:rsidR="00455E0A">
        <w:rPr>
          <w:rFonts w:ascii="Garamond" w:hAnsi="Garamond"/>
          <w:b/>
          <w:bCs/>
          <w:sz w:val="24"/>
          <w:szCs w:val="24"/>
        </w:rPr>
        <w:t>B.</w:t>
      </w:r>
    </w:p>
    <w:p w14:paraId="700A5AB6" w14:textId="77777777" w:rsidR="00D010E4" w:rsidRPr="003D34E5" w:rsidRDefault="00D010E4" w:rsidP="00D010E4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5846E8F5" w14:textId="3E119F51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3D34E5">
        <w:rPr>
          <w:rFonts w:ascii="Garamond" w:hAnsi="Garamond" w:cs="Courier New"/>
          <w:b/>
          <w:sz w:val="24"/>
          <w:szCs w:val="24"/>
          <w:highlight w:val="lightGray"/>
        </w:rPr>
        <w:t>Resumo da Sentença Arbitral</w:t>
      </w:r>
      <w:r w:rsidRPr="003D34E5">
        <w:rPr>
          <w:rFonts w:ascii="Garamond" w:hAnsi="Garamond" w:cs="Courier New"/>
          <w:sz w:val="24"/>
          <w:szCs w:val="24"/>
        </w:rPr>
        <w:t xml:space="preserve"> (elaborado pelo árbitro): </w:t>
      </w:r>
      <w:r w:rsidRPr="003D34E5">
        <w:rPr>
          <w:rFonts w:ascii="Garamond" w:hAnsi="Garamond" w:cs="Courier New"/>
          <w:b/>
          <w:sz w:val="24"/>
          <w:szCs w:val="24"/>
          <w:highlight w:val="lightGray"/>
        </w:rPr>
        <w:t>1.º</w:t>
      </w:r>
      <w:r w:rsidRPr="003D34E5">
        <w:rPr>
          <w:rFonts w:ascii="Garamond" w:hAnsi="Garamond" w:cs="Courier New"/>
          <w:sz w:val="24"/>
          <w:szCs w:val="24"/>
        </w:rPr>
        <w:t xml:space="preserve"> O prestador de serviços encontra-se vinculado ao princípio geral da boa-fé, ao dever de informação e a prestar os serviços contratados segundo padrões de qualidade (</w:t>
      </w:r>
      <w:r w:rsidRPr="003D34E5">
        <w:rPr>
          <w:rFonts w:ascii="Garamond" w:hAnsi="Garamond" w:cs="Courier New"/>
          <w:b/>
          <w:sz w:val="24"/>
          <w:szCs w:val="24"/>
        </w:rPr>
        <w:t>artigos 3.º, 4.º</w:t>
      </w:r>
      <w:r w:rsidRPr="003D34E5">
        <w:rPr>
          <w:rFonts w:ascii="Garamond" w:hAnsi="Garamond" w:cs="Courier New"/>
          <w:sz w:val="24"/>
          <w:szCs w:val="24"/>
        </w:rPr>
        <w:t xml:space="preserve">, </w:t>
      </w:r>
      <w:r w:rsidRPr="003D34E5">
        <w:rPr>
          <w:rFonts w:ascii="Garamond" w:hAnsi="Garamond" w:cs="Courier New"/>
          <w:b/>
          <w:sz w:val="24"/>
          <w:szCs w:val="24"/>
        </w:rPr>
        <w:t>8.º</w:t>
      </w:r>
      <w:r w:rsidRPr="003D34E5">
        <w:rPr>
          <w:rFonts w:ascii="Garamond" w:hAnsi="Garamond" w:cs="Courier New"/>
          <w:sz w:val="24"/>
          <w:szCs w:val="24"/>
        </w:rPr>
        <w:t xml:space="preserve"> e </w:t>
      </w:r>
      <w:r w:rsidRPr="003D34E5">
        <w:rPr>
          <w:rFonts w:ascii="Garamond" w:hAnsi="Garamond" w:cs="Courier New"/>
          <w:b/>
          <w:sz w:val="24"/>
          <w:szCs w:val="24"/>
        </w:rPr>
        <w:t>9.º</w:t>
      </w:r>
      <w:r w:rsidRPr="003D34E5">
        <w:rPr>
          <w:rFonts w:ascii="Garamond" w:hAnsi="Garamond" w:cs="Courier New"/>
          <w:sz w:val="24"/>
          <w:szCs w:val="24"/>
        </w:rPr>
        <w:t xml:space="preserve"> da Lei n.º24/96, de 31/07); </w:t>
      </w:r>
      <w:r w:rsidRPr="003D34E5">
        <w:rPr>
          <w:rFonts w:ascii="Garamond" w:hAnsi="Garamond" w:cs="Arial"/>
          <w:b/>
          <w:sz w:val="24"/>
          <w:szCs w:val="24"/>
          <w:highlight w:val="lightGray"/>
          <w:lang w:eastAsia="pt-PT"/>
        </w:rPr>
        <w:t>2.º</w:t>
      </w:r>
      <w:r w:rsidRPr="003D34E5">
        <w:rPr>
          <w:rFonts w:ascii="Garamond" w:hAnsi="Garamond" w:cs="Arial"/>
          <w:sz w:val="24"/>
          <w:szCs w:val="24"/>
          <w:lang w:eastAsia="pt-PT"/>
        </w:rPr>
        <w:t xml:space="preserve"> </w:t>
      </w:r>
      <w:r w:rsidRPr="003D34E5">
        <w:rPr>
          <w:rFonts w:ascii="Garamond" w:hAnsi="Garamond" w:cs="Courier New"/>
          <w:sz w:val="24"/>
          <w:szCs w:val="24"/>
        </w:rPr>
        <w:t xml:space="preserve">Ao omitir ao demandante que findo o prazo inicial o contrato se renovaria automaticamente por períodos sucessivos de um ano a demandada violou o princípio geral da boa-fé, os deveres de prestação dos serviços segundo padrões de qualidade, o direito do demandante à proteção dos seus interesses económicos e os deveres de comunicação e informação; </w:t>
      </w:r>
      <w:r w:rsidR="00CB3648" w:rsidRPr="003D34E5">
        <w:rPr>
          <w:rFonts w:ascii="Garamond" w:hAnsi="Garamond" w:cs="Courier New"/>
          <w:b/>
          <w:sz w:val="24"/>
          <w:szCs w:val="24"/>
          <w:highlight w:val="lightGray"/>
        </w:rPr>
        <w:t>3</w:t>
      </w:r>
      <w:r w:rsidRPr="003D34E5">
        <w:rPr>
          <w:rFonts w:ascii="Garamond" w:hAnsi="Garamond" w:cs="Courier New"/>
          <w:b/>
          <w:sz w:val="24"/>
          <w:szCs w:val="24"/>
          <w:highlight w:val="lightGray"/>
        </w:rPr>
        <w:t>.º</w:t>
      </w:r>
      <w:r w:rsidRPr="003D34E5">
        <w:rPr>
          <w:rFonts w:ascii="Garamond" w:hAnsi="Garamond" w:cs="Courier New"/>
          <w:sz w:val="24"/>
          <w:szCs w:val="24"/>
        </w:rPr>
        <w:t xml:space="preserve"> A cláusula contratual que consagra a renovação automática é, nula, nos termos do disposto no </w:t>
      </w:r>
      <w:r w:rsidRPr="003D34E5">
        <w:rPr>
          <w:rFonts w:ascii="Garamond" w:hAnsi="Garamond" w:cs="Courier New"/>
          <w:b/>
          <w:sz w:val="24"/>
          <w:szCs w:val="24"/>
        </w:rPr>
        <w:t>artigo 280.º/1</w:t>
      </w:r>
      <w:r w:rsidRPr="003D34E5">
        <w:rPr>
          <w:rFonts w:ascii="Garamond" w:hAnsi="Garamond" w:cs="Courier New"/>
          <w:sz w:val="24"/>
          <w:szCs w:val="24"/>
        </w:rPr>
        <w:t xml:space="preserve">, do Código Civil, por violação dos princípios e das normas consagrados nos </w:t>
      </w:r>
      <w:r w:rsidRPr="003D34E5">
        <w:rPr>
          <w:rFonts w:ascii="Garamond" w:hAnsi="Garamond" w:cs="Courier New"/>
          <w:b/>
          <w:sz w:val="24"/>
          <w:szCs w:val="24"/>
        </w:rPr>
        <w:t>artigos 3.º, 4.º</w:t>
      </w:r>
      <w:r w:rsidRPr="003D34E5">
        <w:rPr>
          <w:rFonts w:ascii="Garamond" w:hAnsi="Garamond" w:cs="Courier New"/>
          <w:sz w:val="24"/>
          <w:szCs w:val="24"/>
        </w:rPr>
        <w:t xml:space="preserve">, </w:t>
      </w:r>
      <w:r w:rsidRPr="003D34E5">
        <w:rPr>
          <w:rFonts w:ascii="Garamond" w:hAnsi="Garamond" w:cs="Courier New"/>
          <w:b/>
          <w:sz w:val="24"/>
          <w:szCs w:val="24"/>
        </w:rPr>
        <w:t>8.º</w:t>
      </w:r>
      <w:r w:rsidRPr="003D34E5">
        <w:rPr>
          <w:rFonts w:ascii="Garamond" w:hAnsi="Garamond" w:cs="Courier New"/>
          <w:sz w:val="24"/>
          <w:szCs w:val="24"/>
        </w:rPr>
        <w:t xml:space="preserve"> e </w:t>
      </w:r>
      <w:r w:rsidRPr="003D34E5">
        <w:rPr>
          <w:rFonts w:ascii="Garamond" w:hAnsi="Garamond" w:cs="Courier New"/>
          <w:b/>
          <w:sz w:val="24"/>
          <w:szCs w:val="24"/>
        </w:rPr>
        <w:t>9.º</w:t>
      </w:r>
      <w:r w:rsidRPr="003D34E5">
        <w:rPr>
          <w:rFonts w:ascii="Garamond" w:hAnsi="Garamond" w:cs="Courier New"/>
          <w:sz w:val="24"/>
          <w:szCs w:val="24"/>
        </w:rPr>
        <w:t xml:space="preserve"> da Lei n.º24/96, de 31/07, e dos </w:t>
      </w:r>
      <w:r w:rsidRPr="003D34E5">
        <w:rPr>
          <w:rFonts w:ascii="Garamond" w:hAnsi="Garamond" w:cs="Courier New"/>
          <w:b/>
          <w:sz w:val="24"/>
          <w:szCs w:val="24"/>
        </w:rPr>
        <w:t xml:space="preserve">artigos 5.º </w:t>
      </w:r>
      <w:r w:rsidRPr="003D34E5">
        <w:rPr>
          <w:rFonts w:ascii="Garamond" w:hAnsi="Garamond" w:cs="Courier New"/>
          <w:sz w:val="24"/>
          <w:szCs w:val="24"/>
        </w:rPr>
        <w:t>e</w:t>
      </w:r>
      <w:r w:rsidRPr="003D34E5">
        <w:rPr>
          <w:rFonts w:ascii="Garamond" w:hAnsi="Garamond" w:cs="Courier New"/>
          <w:b/>
          <w:sz w:val="24"/>
          <w:szCs w:val="24"/>
        </w:rPr>
        <w:t xml:space="preserve"> 6.º</w:t>
      </w:r>
      <w:r w:rsidRPr="003D34E5">
        <w:rPr>
          <w:rFonts w:ascii="Garamond" w:hAnsi="Garamond" w:cs="Courier New"/>
          <w:sz w:val="24"/>
          <w:szCs w:val="24"/>
        </w:rPr>
        <w:t xml:space="preserve">, do Decreto-Lei n.º446/85, de 25/10, considerando-se, por isso, excluída do contrato por força do </w:t>
      </w:r>
      <w:r w:rsidRPr="003D34E5">
        <w:rPr>
          <w:rFonts w:ascii="Garamond" w:hAnsi="Garamond" w:cs="Courier New"/>
          <w:b/>
          <w:sz w:val="24"/>
          <w:szCs w:val="24"/>
        </w:rPr>
        <w:t xml:space="preserve">disposto 8.º/alíneas a) </w:t>
      </w:r>
      <w:r w:rsidRPr="003D34E5">
        <w:rPr>
          <w:rFonts w:ascii="Garamond" w:hAnsi="Garamond" w:cs="Courier New"/>
          <w:sz w:val="24"/>
          <w:szCs w:val="24"/>
        </w:rPr>
        <w:t>e</w:t>
      </w:r>
      <w:r w:rsidRPr="003D34E5">
        <w:rPr>
          <w:rFonts w:ascii="Garamond" w:hAnsi="Garamond" w:cs="Courier New"/>
          <w:b/>
          <w:sz w:val="24"/>
          <w:szCs w:val="24"/>
        </w:rPr>
        <w:t xml:space="preserve"> b)</w:t>
      </w:r>
      <w:r w:rsidRPr="003D34E5">
        <w:rPr>
          <w:rFonts w:ascii="Garamond" w:hAnsi="Garamond" w:cs="Courier New"/>
          <w:sz w:val="24"/>
          <w:szCs w:val="24"/>
        </w:rPr>
        <w:t xml:space="preserve">, deste último diploma; </w:t>
      </w:r>
      <w:r w:rsidR="00CB3648" w:rsidRPr="003D34E5">
        <w:rPr>
          <w:rFonts w:ascii="Garamond" w:hAnsi="Garamond" w:cs="Courier New"/>
          <w:b/>
          <w:sz w:val="24"/>
          <w:szCs w:val="24"/>
          <w:highlight w:val="lightGray"/>
        </w:rPr>
        <w:t>4</w:t>
      </w:r>
      <w:r w:rsidRPr="003D34E5">
        <w:rPr>
          <w:rFonts w:ascii="Garamond" w:hAnsi="Garamond" w:cs="Courier New"/>
          <w:b/>
          <w:sz w:val="24"/>
          <w:szCs w:val="24"/>
          <w:highlight w:val="lightGray"/>
        </w:rPr>
        <w:t>.º</w:t>
      </w:r>
      <w:r w:rsidRPr="003D34E5">
        <w:rPr>
          <w:rFonts w:ascii="Garamond" w:hAnsi="Garamond" w:cs="Courier New"/>
          <w:sz w:val="24"/>
          <w:szCs w:val="24"/>
        </w:rPr>
        <w:t xml:space="preserve"> A violação destes princípios e normas, por um lado, e a </w:t>
      </w:r>
      <w:r w:rsidR="00364EB0">
        <w:rPr>
          <w:rFonts w:ascii="Garamond" w:hAnsi="Garamond" w:cs="Courier New"/>
          <w:sz w:val="24"/>
          <w:szCs w:val="24"/>
        </w:rPr>
        <w:t>denúncia</w:t>
      </w:r>
      <w:r w:rsidRPr="003D34E5">
        <w:rPr>
          <w:rFonts w:ascii="Garamond" w:hAnsi="Garamond" w:cs="Courier New"/>
          <w:sz w:val="24"/>
          <w:szCs w:val="24"/>
        </w:rPr>
        <w:t xml:space="preserve"> do contrato pelo demandante, por outro, implicam a cessação do contrato fincando o demandante desobrigado do pagamento de qualquer quantia à demandada.</w:t>
      </w:r>
    </w:p>
    <w:p w14:paraId="3363EE20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</w:p>
    <w:p w14:paraId="1BB3036A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I. - Relatório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: </w:t>
      </w:r>
    </w:p>
    <w:p w14:paraId="3D96BF6B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A. - Das Partes e do Objeto da Ação Arbitral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5B3A3167" w14:textId="642C7B2F" w:rsidR="00D010E4" w:rsidRPr="003D34E5" w:rsidRDefault="00D010E4" w:rsidP="00D010E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O demandante </w:t>
      </w:r>
      <w:r w:rsidR="00455E0A">
        <w:rPr>
          <w:rFonts w:ascii="Garamond" w:hAnsi="Garamond"/>
          <w:b/>
          <w:bCs/>
          <w:sz w:val="24"/>
          <w:szCs w:val="24"/>
        </w:rPr>
        <w:t>A.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residente </w:t>
      </w:r>
      <w:r w:rsidR="00283373" w:rsidRPr="003D34E5">
        <w:rPr>
          <w:rFonts w:ascii="Garamond" w:eastAsia="Times New Roman" w:hAnsi="Garamond"/>
          <w:sz w:val="24"/>
          <w:szCs w:val="24"/>
          <w:lang w:eastAsia="zh-CN"/>
        </w:rPr>
        <w:t xml:space="preserve">na </w:t>
      </w:r>
      <w:r w:rsidR="00455E0A">
        <w:rPr>
          <w:rFonts w:ascii="Garamond" w:eastAsia="Times New Roman" w:hAnsi="Garamond"/>
          <w:sz w:val="24"/>
          <w:szCs w:val="24"/>
          <w:lang w:eastAsia="zh-CN"/>
        </w:rPr>
        <w:t>-------------</w:t>
      </w:r>
      <w:r w:rsidR="00283373" w:rsidRPr="003D34E5">
        <w:rPr>
          <w:rFonts w:ascii="Garamond" w:eastAsia="Times New Roman" w:hAnsi="Garamond"/>
          <w:sz w:val="24"/>
          <w:szCs w:val="24"/>
          <w:lang w:eastAsia="zh-CN"/>
        </w:rPr>
        <w:t>,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apresentou uma reclamação no </w:t>
      </w:r>
      <w:r w:rsidR="007F5701" w:rsidRPr="00EF0426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à qual foi atribuída o número </w:t>
      </w:r>
      <w:r w:rsidR="003D34E5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804</w:t>
      </w:r>
      <w:r w:rsidRPr="003D34E5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_202</w:t>
      </w:r>
      <w:r w:rsidR="003D34E5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6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contra a demandada </w:t>
      </w:r>
      <w:r w:rsidR="00455E0A">
        <w:rPr>
          <w:rFonts w:ascii="Garamond" w:eastAsia="Times New Roman" w:hAnsi="Garamond"/>
          <w:b/>
          <w:bCs/>
          <w:sz w:val="24"/>
          <w:szCs w:val="24"/>
          <w:lang w:eastAsia="zh-CN"/>
        </w:rPr>
        <w:t>B.</w:t>
      </w:r>
    </w:p>
    <w:p w14:paraId="62862BD6" w14:textId="77777777" w:rsidR="00D010E4" w:rsidRPr="003D34E5" w:rsidRDefault="00D010E4" w:rsidP="00D010E4">
      <w:pPr>
        <w:spacing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Tendo-se frustrado a possibilidade de celebração de um acordo entre as partes o processo prosseguiu, então, para a sua fase arbitral, por vontade expressa do demandante.</w:t>
      </w:r>
    </w:p>
    <w:p w14:paraId="504C8E67" w14:textId="77777777" w:rsidR="00D010E4" w:rsidRPr="003D34E5" w:rsidRDefault="00D010E4" w:rsidP="00D010E4">
      <w:pPr>
        <w:spacing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Por se tratar de arbitragem necessária, nos termos e para os efeitos do disposto no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14.º/1/2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, da Lei n.º24/96, de 31/07, na sua redação atualizada, compete a este tribunal julgar e decidir este litígio.</w:t>
      </w:r>
    </w:p>
    <w:p w14:paraId="23FFE135" w14:textId="77777777" w:rsidR="00D010E4" w:rsidRPr="003D34E5" w:rsidRDefault="00D010E4" w:rsidP="00D010E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sz w:val="24"/>
          <w:szCs w:val="24"/>
        </w:rPr>
        <w:lastRenderedPageBreak/>
        <w:t>A instância arbitral estabilizou-se, por isso, com as partes acima identificadas, não se tendo verificado qualquer modificação subjetiva decorrente da intervenção de novas partes a partir daquela data.</w:t>
      </w:r>
    </w:p>
    <w:p w14:paraId="2A6F754A" w14:textId="1F604659" w:rsidR="00D010E4" w:rsidRPr="003D34E5" w:rsidRDefault="00D010E4" w:rsidP="00D010E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sz w:val="24"/>
          <w:szCs w:val="24"/>
        </w:rPr>
        <w:t xml:space="preserve">De igual modo os pedidos e causa de pedir constantes da reclamação inicial do demandante não foram objeto de alteração, que se dão aqui por integralmente reproduzidos para todos os efeitos, e consistem, em suma, na declaração e resolução contratual com efeitos a partir de </w:t>
      </w:r>
      <w:r w:rsidRPr="003D34E5">
        <w:rPr>
          <w:rFonts w:ascii="Garamond" w:hAnsi="Garamond"/>
          <w:sz w:val="24"/>
          <w:szCs w:val="24"/>
          <w:u w:val="single"/>
        </w:rPr>
        <w:t>0</w:t>
      </w:r>
      <w:r w:rsidR="007569B3">
        <w:rPr>
          <w:rFonts w:ascii="Garamond" w:hAnsi="Garamond"/>
          <w:sz w:val="24"/>
          <w:szCs w:val="24"/>
          <w:u w:val="single"/>
        </w:rPr>
        <w:t>7</w:t>
      </w:r>
      <w:r w:rsidRPr="003D34E5">
        <w:rPr>
          <w:rFonts w:ascii="Garamond" w:hAnsi="Garamond"/>
          <w:sz w:val="24"/>
          <w:szCs w:val="24"/>
          <w:u w:val="single"/>
        </w:rPr>
        <w:t>-</w:t>
      </w:r>
      <w:r w:rsidR="003D34E5">
        <w:rPr>
          <w:rFonts w:ascii="Garamond" w:hAnsi="Garamond"/>
          <w:sz w:val="24"/>
          <w:szCs w:val="24"/>
          <w:u w:val="single"/>
        </w:rPr>
        <w:t>11</w:t>
      </w:r>
      <w:r w:rsidRPr="003D34E5">
        <w:rPr>
          <w:rFonts w:ascii="Garamond" w:hAnsi="Garamond"/>
          <w:sz w:val="24"/>
          <w:szCs w:val="24"/>
          <w:u w:val="single"/>
        </w:rPr>
        <w:t>-2025</w:t>
      </w:r>
      <w:r w:rsidRPr="003D34E5">
        <w:rPr>
          <w:rFonts w:ascii="Garamond" w:hAnsi="Garamond"/>
          <w:sz w:val="24"/>
          <w:szCs w:val="24"/>
        </w:rPr>
        <w:t xml:space="preserve"> e a declaração de que não é devedor de qualquer quantia a partir daquela data.</w:t>
      </w:r>
    </w:p>
    <w:p w14:paraId="10F352DB" w14:textId="2F8EC1FF" w:rsidR="00D010E4" w:rsidRPr="000F093D" w:rsidRDefault="00D010E4" w:rsidP="00D010E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0F093D">
        <w:rPr>
          <w:rFonts w:ascii="Garamond" w:hAnsi="Garamond"/>
          <w:sz w:val="24"/>
          <w:szCs w:val="24"/>
        </w:rPr>
        <w:t xml:space="preserve">A demandada contestou a ação arbitral </w:t>
      </w:r>
      <w:r w:rsidR="003D34E5" w:rsidRPr="000F093D">
        <w:rPr>
          <w:rFonts w:ascii="Garamond" w:hAnsi="Garamond"/>
          <w:sz w:val="24"/>
          <w:szCs w:val="24"/>
        </w:rPr>
        <w:t xml:space="preserve">defendendo-se por exceção e impugnação alegando, para o efeito, que </w:t>
      </w:r>
      <w:r w:rsidR="00E56230" w:rsidRPr="000F093D">
        <w:rPr>
          <w:rFonts w:ascii="Garamond" w:hAnsi="Garamond"/>
          <w:sz w:val="24"/>
          <w:szCs w:val="24"/>
        </w:rPr>
        <w:t>o contrato se renovou automaticamente por mais um ano, que o demandante promoveu a sua cessação para além do prazo contratualmente previsto, que a resolução contratual carece de justa causa e que por isso lhe é devida a penalização pela quebra contratual, pugnando, a final, pela improcedência total da ação arbitral, por não provada, e pela sua absolvição dos pedidos.</w:t>
      </w:r>
    </w:p>
    <w:p w14:paraId="61BE4D29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B. – Constituição do Tribunal Arbitral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5CA3012C" w14:textId="22EABE31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Nos termos do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13.º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F5701" w:rsidRPr="003D34E5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o tribunal arbitral é constituído por um único Árbitro.</w:t>
      </w:r>
    </w:p>
    <w:p w14:paraId="7470E8AC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A9AF9B5" w14:textId="690BFAA1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O árbitro signatário da presente sentença arbitral foi designado para o efeito pelo </w:t>
      </w:r>
      <w:r w:rsidR="007F5701" w:rsidRPr="003D34E5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e aceitou a nomeação na data mencionada nos autos deste processo.</w:t>
      </w:r>
    </w:p>
    <w:p w14:paraId="166A6BE6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BBA138D" w14:textId="79A0A439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C. – Audiência Arbitral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 xml:space="preserve"> 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(</w:t>
      </w:r>
      <w:r w:rsidRPr="003D34E5">
        <w:rPr>
          <w:rFonts w:ascii="Garamond" w:eastAsia="Times New Roman" w:hAnsi="Garamond"/>
          <w:sz w:val="24"/>
          <w:szCs w:val="24"/>
          <w:u w:val="single"/>
          <w:lang w:eastAsia="zh-CN"/>
        </w:rPr>
        <w:t>artigo 1</w:t>
      </w:r>
      <w:r w:rsidR="000F093D">
        <w:rPr>
          <w:rFonts w:ascii="Garamond" w:eastAsia="Times New Roman" w:hAnsi="Garamond"/>
          <w:sz w:val="24"/>
          <w:szCs w:val="24"/>
          <w:u w:val="single"/>
          <w:lang w:eastAsia="zh-CN"/>
        </w:rPr>
        <w:t>8</w:t>
      </w:r>
      <w:r w:rsidRPr="003D34E5">
        <w:rPr>
          <w:rFonts w:ascii="Garamond" w:eastAsia="Times New Roman" w:hAnsi="Garamond"/>
          <w:sz w:val="24"/>
          <w:szCs w:val="24"/>
          <w:u w:val="single"/>
          <w:lang w:eastAsia="zh-CN"/>
        </w:rPr>
        <w:t>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F5701" w:rsidRPr="003D34E5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):</w:t>
      </w:r>
    </w:p>
    <w:p w14:paraId="7C8CB626" w14:textId="14DF6E92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Nos termos do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1</w:t>
      </w:r>
      <w:r w:rsidR="000F093D">
        <w:rPr>
          <w:rFonts w:ascii="Garamond" w:eastAsia="Times New Roman" w:hAnsi="Garamond"/>
          <w:b/>
          <w:sz w:val="24"/>
          <w:szCs w:val="24"/>
          <w:lang w:eastAsia="zh-CN"/>
        </w:rPr>
        <w:t>8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F5701" w:rsidRPr="003D34E5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as partes foram notificadas da data, hora e local da audiência arbitral, precedida da tentativa de conciliação prevista no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1</w:t>
      </w:r>
      <w:r w:rsidR="000F093D">
        <w:rPr>
          <w:rFonts w:ascii="Garamond" w:eastAsia="Times New Roman" w:hAnsi="Garamond"/>
          <w:b/>
          <w:sz w:val="24"/>
          <w:szCs w:val="24"/>
          <w:lang w:eastAsia="zh-CN"/>
        </w:rPr>
        <w:t>5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do referido regulamento.</w:t>
      </w:r>
    </w:p>
    <w:p w14:paraId="3D34DD45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C0A8F17" w14:textId="4DF0097F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Nos termos do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1</w:t>
      </w:r>
      <w:r w:rsidR="000F093D">
        <w:rPr>
          <w:rFonts w:ascii="Garamond" w:eastAsia="Times New Roman" w:hAnsi="Garamond"/>
          <w:b/>
          <w:sz w:val="24"/>
          <w:szCs w:val="24"/>
          <w:lang w:eastAsia="zh-CN"/>
        </w:rPr>
        <w:t>8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, acima citado, a demandada poderia apresentar a sua contestação escrita até 48 horas antes da hora marcada para a audiência ou oralmente na própria audiência e, ainda, produzir toda a prova que considerasse relevante.</w:t>
      </w:r>
    </w:p>
    <w:p w14:paraId="1C204F88" w14:textId="576F0A2E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A demandada apresentou contestação escrita no prazo concedido para o efeito.</w:t>
      </w:r>
    </w:p>
    <w:p w14:paraId="1E97D6A5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212414C" w14:textId="10AC0901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A audiência arbitral realizou-se </w:t>
      </w:r>
      <w:r w:rsidR="000F093D">
        <w:rPr>
          <w:rFonts w:ascii="Garamond" w:eastAsia="Times New Roman" w:hAnsi="Garamond"/>
          <w:sz w:val="24"/>
          <w:szCs w:val="24"/>
          <w:lang w:eastAsia="zh-CN"/>
        </w:rPr>
        <w:t>em Braga, na sede do Tribunal Arbitral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no dia </w:t>
      </w:r>
      <w:r w:rsidR="000F093D">
        <w:rPr>
          <w:rFonts w:ascii="Garamond" w:eastAsia="Times New Roman" w:hAnsi="Garamond"/>
          <w:sz w:val="24"/>
          <w:szCs w:val="24"/>
          <w:u w:val="single"/>
          <w:lang w:eastAsia="zh-CN"/>
        </w:rPr>
        <w:t>14-07-2026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pelas </w:t>
      </w:r>
      <w:r w:rsidR="000F093D">
        <w:rPr>
          <w:rFonts w:ascii="Garamond" w:eastAsia="Times New Roman" w:hAnsi="Garamond"/>
          <w:sz w:val="24"/>
          <w:szCs w:val="24"/>
          <w:lang w:eastAsia="zh-CN"/>
        </w:rPr>
        <w:t>14:00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515FD3C7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2B027E5" w14:textId="50AB7E26" w:rsidR="00D010E4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O demandante encontrava-se presente e a demandada </w:t>
      </w:r>
      <w:r w:rsidR="003B44A8">
        <w:rPr>
          <w:rFonts w:ascii="Garamond" w:eastAsia="Times New Roman" w:hAnsi="Garamond"/>
          <w:sz w:val="24"/>
          <w:szCs w:val="24"/>
          <w:lang w:eastAsia="zh-CN"/>
        </w:rPr>
        <w:t>representada pela</w:t>
      </w:r>
      <w:r w:rsidR="00B65C94">
        <w:rPr>
          <w:rFonts w:ascii="Garamond" w:eastAsia="Times New Roman" w:hAnsi="Garamond"/>
          <w:sz w:val="24"/>
          <w:szCs w:val="24"/>
          <w:lang w:eastAsia="zh-CN"/>
        </w:rPr>
        <w:t>, Advogada, não tendo as partes logrado a composição amigável deste litígio em sede de conciliação.</w:t>
      </w:r>
    </w:p>
    <w:p w14:paraId="18A79327" w14:textId="77777777" w:rsidR="00B65C94" w:rsidRPr="003D34E5" w:rsidRDefault="00B65C9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AF775CD" w14:textId="566F7EB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Finda a audiência arbitral foi elaborada a respetiva ata e assinada pelo árbitro signatário e pela Ex.ma Senhora </w:t>
      </w:r>
      <w:r w:rsidR="002F6CA3">
        <w:rPr>
          <w:rFonts w:ascii="Garamond" w:eastAsia="Times New Roman" w:hAnsi="Garamond"/>
          <w:sz w:val="24"/>
          <w:szCs w:val="24"/>
          <w:lang w:eastAsia="zh-CN"/>
        </w:rPr>
        <w:t>Secretária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do </w:t>
      </w:r>
      <w:r w:rsidR="007F5701" w:rsidRPr="003D34E5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presente na audiência</w:t>
      </w:r>
      <w:r w:rsidR="00855069">
        <w:rPr>
          <w:rFonts w:ascii="Garamond" w:eastAsia="Times New Roman" w:hAnsi="Garamond"/>
          <w:sz w:val="24"/>
          <w:szCs w:val="24"/>
          <w:lang w:eastAsia="zh-CN"/>
        </w:rPr>
        <w:t xml:space="preserve"> arbitral.</w:t>
      </w:r>
    </w:p>
    <w:p w14:paraId="226F0BBF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37F1B4F" w14:textId="07EC5071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II. – Saneamento e Valor da Causa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6E479591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sz w:val="24"/>
          <w:szCs w:val="24"/>
        </w:rPr>
        <w:t>O processo é o próprio tendo em conta a causa de pedir e o pedido e está isento de quaisquer nulidades que tenham de ser apreciadas ou questões que obstem ao conhecimento do mérito da causa.</w:t>
      </w:r>
    </w:p>
    <w:p w14:paraId="4B41BCDB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3F70E07" w14:textId="44EFE591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sz w:val="24"/>
          <w:szCs w:val="24"/>
        </w:rPr>
        <w:t xml:space="preserve">Compete a este tribunal fixar o valor da causa arbitral no uso dos poderes que lhe são conferidos pelo disposto no </w:t>
      </w:r>
      <w:r w:rsidRPr="003D34E5">
        <w:rPr>
          <w:rFonts w:ascii="Garamond" w:hAnsi="Garamond"/>
          <w:b/>
          <w:sz w:val="24"/>
          <w:szCs w:val="24"/>
        </w:rPr>
        <w:t>artigo 14.º</w:t>
      </w:r>
      <w:r w:rsidRPr="003D34E5">
        <w:rPr>
          <w:rFonts w:ascii="Garamond" w:hAnsi="Garamond"/>
          <w:sz w:val="24"/>
          <w:szCs w:val="24"/>
        </w:rPr>
        <w:t xml:space="preserve"> do regulamento do </w:t>
      </w:r>
      <w:r w:rsidR="007F5701" w:rsidRPr="003D34E5">
        <w:rPr>
          <w:rFonts w:ascii="Garamond" w:hAnsi="Garamond"/>
          <w:sz w:val="24"/>
          <w:szCs w:val="24"/>
        </w:rPr>
        <w:t>CNIACC</w:t>
      </w:r>
      <w:r w:rsidRPr="003D34E5">
        <w:rPr>
          <w:rFonts w:ascii="Garamond" w:hAnsi="Garamond"/>
          <w:sz w:val="24"/>
          <w:szCs w:val="24"/>
        </w:rPr>
        <w:t xml:space="preserve"> e, subsidiariamente, pela remissão operada pelo disposto no </w:t>
      </w:r>
      <w:r w:rsidRPr="003D34E5">
        <w:rPr>
          <w:rFonts w:ascii="Garamond" w:hAnsi="Garamond"/>
          <w:b/>
          <w:sz w:val="24"/>
          <w:szCs w:val="24"/>
        </w:rPr>
        <w:t xml:space="preserve">artigo </w:t>
      </w:r>
      <w:r w:rsidR="00855069">
        <w:rPr>
          <w:rFonts w:ascii="Garamond" w:hAnsi="Garamond"/>
          <w:b/>
          <w:sz w:val="24"/>
          <w:szCs w:val="24"/>
        </w:rPr>
        <w:t>27</w:t>
      </w:r>
      <w:r w:rsidRPr="003D34E5">
        <w:rPr>
          <w:rFonts w:ascii="Garamond" w:hAnsi="Garamond"/>
          <w:b/>
          <w:sz w:val="24"/>
          <w:szCs w:val="24"/>
        </w:rPr>
        <w:t>.º</w:t>
      </w:r>
      <w:r w:rsidR="00855069">
        <w:rPr>
          <w:rFonts w:ascii="Garamond" w:hAnsi="Garamond"/>
          <w:b/>
          <w:sz w:val="24"/>
          <w:szCs w:val="24"/>
        </w:rPr>
        <w:t>/3</w:t>
      </w:r>
      <w:r w:rsidRPr="003D34E5">
        <w:rPr>
          <w:rFonts w:ascii="Garamond" w:hAnsi="Garamond"/>
          <w:sz w:val="24"/>
          <w:szCs w:val="24"/>
        </w:rPr>
        <w:t>, nos termos do Código do Processo Civil (</w:t>
      </w:r>
      <w:r w:rsidRPr="003D34E5">
        <w:rPr>
          <w:rFonts w:ascii="Garamond" w:hAnsi="Garamond"/>
          <w:b/>
          <w:sz w:val="24"/>
          <w:szCs w:val="24"/>
        </w:rPr>
        <w:t>artigo 306.º/1</w:t>
      </w:r>
      <w:r w:rsidRPr="003D34E5">
        <w:rPr>
          <w:rFonts w:ascii="Garamond" w:hAnsi="Garamond"/>
          <w:sz w:val="24"/>
          <w:szCs w:val="24"/>
        </w:rPr>
        <w:t>).</w:t>
      </w:r>
    </w:p>
    <w:p w14:paraId="27E1EEAC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18E04F1" w14:textId="433BBADA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sz w:val="24"/>
          <w:szCs w:val="24"/>
        </w:rPr>
        <w:t xml:space="preserve">O demandante pretende que este tribunal </w:t>
      </w:r>
      <w:r w:rsidR="00855069">
        <w:rPr>
          <w:rFonts w:ascii="Garamond" w:hAnsi="Garamond"/>
          <w:sz w:val="24"/>
          <w:szCs w:val="24"/>
        </w:rPr>
        <w:t xml:space="preserve">declare a </w:t>
      </w:r>
      <w:r w:rsidR="00855069" w:rsidRPr="003D34E5">
        <w:rPr>
          <w:rFonts w:ascii="Garamond" w:hAnsi="Garamond"/>
          <w:sz w:val="24"/>
          <w:szCs w:val="24"/>
        </w:rPr>
        <w:t xml:space="preserve">resolução contratual com efeitos a partir de </w:t>
      </w:r>
      <w:r w:rsidR="00855069" w:rsidRPr="003D34E5">
        <w:rPr>
          <w:rFonts w:ascii="Garamond" w:hAnsi="Garamond"/>
          <w:sz w:val="24"/>
          <w:szCs w:val="24"/>
          <w:u w:val="single"/>
        </w:rPr>
        <w:t>0</w:t>
      </w:r>
      <w:r w:rsidR="007569B3">
        <w:rPr>
          <w:rFonts w:ascii="Garamond" w:hAnsi="Garamond"/>
          <w:sz w:val="24"/>
          <w:szCs w:val="24"/>
          <w:u w:val="single"/>
        </w:rPr>
        <w:t>7</w:t>
      </w:r>
      <w:r w:rsidR="00855069" w:rsidRPr="003D34E5">
        <w:rPr>
          <w:rFonts w:ascii="Garamond" w:hAnsi="Garamond"/>
          <w:sz w:val="24"/>
          <w:szCs w:val="24"/>
          <w:u w:val="single"/>
        </w:rPr>
        <w:t>-</w:t>
      </w:r>
      <w:r w:rsidR="00855069">
        <w:rPr>
          <w:rFonts w:ascii="Garamond" w:hAnsi="Garamond"/>
          <w:sz w:val="24"/>
          <w:szCs w:val="24"/>
          <w:u w:val="single"/>
        </w:rPr>
        <w:t>11</w:t>
      </w:r>
      <w:r w:rsidR="00855069" w:rsidRPr="003D34E5">
        <w:rPr>
          <w:rFonts w:ascii="Garamond" w:hAnsi="Garamond"/>
          <w:sz w:val="24"/>
          <w:szCs w:val="24"/>
          <w:u w:val="single"/>
        </w:rPr>
        <w:t>-2025</w:t>
      </w:r>
      <w:r w:rsidR="00855069" w:rsidRPr="003D34E5">
        <w:rPr>
          <w:rFonts w:ascii="Garamond" w:hAnsi="Garamond"/>
          <w:sz w:val="24"/>
          <w:szCs w:val="24"/>
        </w:rPr>
        <w:t xml:space="preserve"> e </w:t>
      </w:r>
      <w:r w:rsidR="00855069">
        <w:rPr>
          <w:rFonts w:ascii="Garamond" w:hAnsi="Garamond"/>
          <w:sz w:val="24"/>
          <w:szCs w:val="24"/>
        </w:rPr>
        <w:t>que o demandante</w:t>
      </w:r>
      <w:r w:rsidR="00855069" w:rsidRPr="003D34E5">
        <w:rPr>
          <w:rFonts w:ascii="Garamond" w:hAnsi="Garamond"/>
          <w:sz w:val="24"/>
          <w:szCs w:val="24"/>
        </w:rPr>
        <w:t xml:space="preserve"> não é devedor de qualquer quantia a partir daquela data</w:t>
      </w:r>
      <w:r w:rsidR="00855069">
        <w:rPr>
          <w:rFonts w:ascii="Garamond" w:hAnsi="Garamond"/>
          <w:sz w:val="24"/>
          <w:szCs w:val="24"/>
        </w:rPr>
        <w:t xml:space="preserve"> e a demandada sustenta, ao invés, a improcedência da ação e a sua absolvição dos pedidos.</w:t>
      </w:r>
    </w:p>
    <w:p w14:paraId="60605DD3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BFC6468" w14:textId="7920019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O valor da causa fixa-se, assim, em </w:t>
      </w:r>
      <w:r w:rsidRPr="003D34E5">
        <w:rPr>
          <w:rFonts w:ascii="Garamond" w:hAnsi="Garamond"/>
          <w:b/>
          <w:sz w:val="24"/>
          <w:szCs w:val="24"/>
          <w:u w:val="single"/>
        </w:rPr>
        <w:t>€</w:t>
      </w:r>
      <w:r w:rsidR="002D53FF">
        <w:rPr>
          <w:rFonts w:ascii="Garamond" w:hAnsi="Garamond"/>
          <w:b/>
          <w:sz w:val="24"/>
          <w:szCs w:val="24"/>
          <w:u w:val="single"/>
        </w:rPr>
        <w:t>465,69</w:t>
      </w:r>
      <w:r w:rsidRPr="003D34E5">
        <w:rPr>
          <w:rFonts w:ascii="Garamond" w:hAnsi="Garamond"/>
          <w:b/>
          <w:sz w:val="24"/>
          <w:szCs w:val="24"/>
        </w:rPr>
        <w:t xml:space="preserve"> 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(</w:t>
      </w:r>
      <w:r w:rsidR="00E50223">
        <w:rPr>
          <w:rFonts w:ascii="Garamond" w:eastAsia="Times New Roman" w:hAnsi="Garamond"/>
          <w:sz w:val="24"/>
          <w:szCs w:val="24"/>
          <w:lang w:eastAsia="zh-CN"/>
        </w:rPr>
        <w:t>quatrocentos e sessenta e cinco euros e sessenta e nove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cêntimos), nos termos dos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artigos 296.º/1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e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297.º/1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, ambos do CPC,</w:t>
      </w:r>
      <w:r w:rsidR="002D53FF">
        <w:rPr>
          <w:rFonts w:ascii="Garamond" w:eastAsia="Times New Roman" w:hAnsi="Garamond"/>
          <w:sz w:val="24"/>
          <w:szCs w:val="24"/>
          <w:lang w:eastAsia="zh-CN"/>
        </w:rPr>
        <w:t xml:space="preserve"> por corresponder ao valor em discussão neste litígio arbitral.</w:t>
      </w:r>
    </w:p>
    <w:p w14:paraId="4CA4D42E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A6CBFDA" w14:textId="77777777" w:rsidR="00D010E4" w:rsidRPr="003D34E5" w:rsidRDefault="00D010E4" w:rsidP="00D010E4">
      <w:pPr>
        <w:tabs>
          <w:tab w:val="center" w:pos="5457"/>
        </w:tabs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Cumpre, por isso, apreciar e decidir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6908F18C" w14:textId="77777777" w:rsidR="00D010E4" w:rsidRDefault="00D010E4" w:rsidP="00D010E4">
      <w:pPr>
        <w:tabs>
          <w:tab w:val="center" w:pos="5457"/>
        </w:tabs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31D90CFC" w14:textId="77777777" w:rsidR="00AD5358" w:rsidRPr="003D34E5" w:rsidRDefault="00AD5358" w:rsidP="00D010E4">
      <w:pPr>
        <w:tabs>
          <w:tab w:val="center" w:pos="5457"/>
        </w:tabs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7278285" w14:textId="77777777" w:rsidR="00D010E4" w:rsidRPr="003D34E5" w:rsidRDefault="00D010E4" w:rsidP="00D010E4">
      <w:pPr>
        <w:suppressAutoHyphens/>
        <w:spacing w:line="360" w:lineRule="auto"/>
        <w:jc w:val="both"/>
        <w:rPr>
          <w:rFonts w:ascii="Garamond" w:hAnsi="Garamond"/>
          <w:sz w:val="24"/>
          <w:szCs w:val="24"/>
          <w:highlight w:val="lightGray"/>
        </w:rPr>
      </w:pPr>
      <w:r w:rsidRPr="003D34E5">
        <w:rPr>
          <w:rFonts w:ascii="Garamond" w:hAnsi="Garamond"/>
          <w:b/>
          <w:sz w:val="24"/>
          <w:szCs w:val="24"/>
          <w:highlight w:val="lightGray"/>
        </w:rPr>
        <w:t>A. – Enquadramento de Facto</w:t>
      </w:r>
      <w:r w:rsidRPr="003D34E5">
        <w:rPr>
          <w:rFonts w:ascii="Garamond" w:hAnsi="Garamond"/>
          <w:sz w:val="24"/>
          <w:szCs w:val="24"/>
          <w:highlight w:val="lightGray"/>
        </w:rPr>
        <w:t>:</w:t>
      </w:r>
    </w:p>
    <w:p w14:paraId="61C6E90D" w14:textId="77777777" w:rsidR="00D010E4" w:rsidRPr="003D34E5" w:rsidRDefault="00D010E4" w:rsidP="00AD5358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  <w:highlight w:val="lightGray"/>
        </w:rPr>
      </w:pPr>
      <w:r w:rsidRPr="003D34E5">
        <w:rPr>
          <w:rFonts w:ascii="Garamond" w:hAnsi="Garamond"/>
          <w:b/>
          <w:sz w:val="24"/>
          <w:szCs w:val="24"/>
          <w:highlight w:val="lightGray"/>
        </w:rPr>
        <w:t>A.1. – Factos Provados</w:t>
      </w:r>
      <w:r w:rsidRPr="003D34E5">
        <w:rPr>
          <w:rFonts w:ascii="Garamond" w:hAnsi="Garamond"/>
          <w:sz w:val="24"/>
          <w:szCs w:val="24"/>
          <w:highlight w:val="lightGray"/>
        </w:rPr>
        <w:t>: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ab/>
      </w:r>
    </w:p>
    <w:p w14:paraId="0480F879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fundamentação da decisão arbitral quanto à matéria de facto constitui uma exigência essencial do processo equitativo e do próprio Estado de Direito, assumindo particular </w:t>
      </w:r>
      <w:r>
        <w:rPr>
          <w:rFonts w:ascii="Garamond" w:hAnsi="Garamond"/>
          <w:sz w:val="24"/>
          <w:szCs w:val="24"/>
        </w:rPr>
        <w:lastRenderedPageBreak/>
        <w:t xml:space="preserve">relevância enquanto garantia de transparência, controlo jurisdicional e legitimação da atividade decisória do tribunal arbitral. </w:t>
      </w:r>
    </w:p>
    <w:p w14:paraId="62C8EF87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motivação da resposta à matéria de facto não se esgota numa mera enumeração dos factos provados e não provados, antes impondo a explicitação crítica do percurso cognitivo e valorativo seguido pelos árbitros na apreciação da prova produzida.</w:t>
      </w:r>
    </w:p>
    <w:p w14:paraId="519A0960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No ordenamento jurídico português, a exigência de fundamentação das decisões jurisdicionais encontra assento constitucional no </w:t>
      </w:r>
      <w:r>
        <w:rPr>
          <w:rFonts w:ascii="Garamond" w:hAnsi="Garamond"/>
          <w:b/>
          <w:bCs/>
          <w:sz w:val="24"/>
          <w:szCs w:val="24"/>
        </w:rPr>
        <w:t>artigo 205.º/1</w:t>
      </w:r>
      <w:r>
        <w:rPr>
          <w:rFonts w:ascii="Garamond" w:hAnsi="Garamond"/>
          <w:sz w:val="24"/>
          <w:szCs w:val="24"/>
        </w:rPr>
        <w:t xml:space="preserve">, da Constituição da República Portuguesa (CRP), segundo o qual </w:t>
      </w:r>
      <w:r>
        <w:rPr>
          <w:rFonts w:ascii="Garamond" w:hAnsi="Garamond"/>
          <w:i/>
          <w:iCs/>
          <w:sz w:val="24"/>
          <w:szCs w:val="24"/>
        </w:rPr>
        <w:t>“1. As decisões dos tribunais que não sejam de mero expediente são fundamentadas na forma prevista na lei. (…);”</w:t>
      </w:r>
      <w:r>
        <w:rPr>
          <w:rFonts w:ascii="Garamond" w:hAnsi="Garamond"/>
          <w:sz w:val="24"/>
          <w:szCs w:val="24"/>
        </w:rPr>
        <w:t xml:space="preserve">. </w:t>
      </w:r>
    </w:p>
    <w:p w14:paraId="1D6680F8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Embora os tribunais arbitrais não integrem, em sentido estrito, a organização judiciária estadual, exercem função jurisdicional, encontrando-se igualmente sujeitos às exigências estruturantes de fundamentação, imparcialidade e racionalidade decisória, e, sobretudo, têm reconhecimento constitucional no </w:t>
      </w:r>
      <w:r>
        <w:rPr>
          <w:rFonts w:ascii="Garamond" w:hAnsi="Garamond"/>
          <w:b/>
          <w:bCs/>
          <w:sz w:val="24"/>
          <w:szCs w:val="24"/>
        </w:rPr>
        <w:t>artigo 209.º/3</w:t>
      </w:r>
      <w:r>
        <w:rPr>
          <w:rFonts w:ascii="Garamond" w:hAnsi="Garamond"/>
          <w:sz w:val="24"/>
          <w:szCs w:val="24"/>
        </w:rPr>
        <w:t xml:space="preserve">, da CRP, que dispõe que </w:t>
      </w:r>
      <w:r>
        <w:rPr>
          <w:rFonts w:ascii="Garamond" w:hAnsi="Garamond"/>
          <w:i/>
          <w:iCs/>
          <w:sz w:val="24"/>
          <w:szCs w:val="24"/>
        </w:rPr>
        <w:t xml:space="preserve">“3. A lei determina os casos e as formas em que os tribunais previstos nos números anteriores se podem constituir, separada ou conjuntamente, em tribunais de conflitos.“. </w:t>
      </w:r>
    </w:p>
    <w:p w14:paraId="006E5C73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fundamentação da sentença arbitral emerge, assim, como corolário dos princípios do contraditório, da igualdade das partes e da tutela jurisdicional efetiva, consagrados nos </w:t>
      </w:r>
      <w:r>
        <w:rPr>
          <w:rFonts w:ascii="Garamond" w:hAnsi="Garamond"/>
          <w:b/>
          <w:bCs/>
          <w:sz w:val="24"/>
          <w:szCs w:val="24"/>
        </w:rPr>
        <w:t>artigos 20.</w:t>
      </w:r>
      <w:r>
        <w:rPr>
          <w:rFonts w:ascii="Garamond" w:hAnsi="Garamond"/>
          <w:sz w:val="24"/>
          <w:szCs w:val="24"/>
        </w:rPr>
        <w:t xml:space="preserve">º e </w:t>
      </w:r>
      <w:r>
        <w:rPr>
          <w:rFonts w:ascii="Garamond" w:hAnsi="Garamond"/>
          <w:b/>
          <w:bCs/>
          <w:sz w:val="24"/>
          <w:szCs w:val="24"/>
        </w:rPr>
        <w:t>202.º</w:t>
      </w:r>
      <w:r>
        <w:rPr>
          <w:rFonts w:ascii="Garamond" w:hAnsi="Garamond"/>
          <w:sz w:val="24"/>
          <w:szCs w:val="24"/>
        </w:rPr>
        <w:t xml:space="preserve"> da CRP.</w:t>
      </w:r>
    </w:p>
    <w:p w14:paraId="24DD5DA7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nível infraconstitucional, a Lei da Arbitragem Voluntária (LAV), prevê expressamente, no </w:t>
      </w:r>
      <w:r>
        <w:rPr>
          <w:rFonts w:ascii="Garamond" w:hAnsi="Garamond"/>
          <w:b/>
          <w:bCs/>
          <w:sz w:val="24"/>
          <w:szCs w:val="24"/>
        </w:rPr>
        <w:t>artigo 42.º/3</w:t>
      </w:r>
      <w:r>
        <w:rPr>
          <w:rFonts w:ascii="Garamond" w:hAnsi="Garamond"/>
          <w:sz w:val="24"/>
          <w:szCs w:val="24"/>
        </w:rPr>
        <w:t>, que a sentença arbitral deve ser fundamentada, salvo se as partes tiverem dispensado essa exigência ou se a decisão resultar de acordo entre elas.</w:t>
      </w:r>
    </w:p>
    <w:p w14:paraId="5B5E9A26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fundamentação deve abranger tanto a matéria de direito como a matéria de facto sob pena de a decisão padecer de insuficiência estrutural suscetível de comprometer a sua validade.</w:t>
      </w:r>
    </w:p>
    <w:p w14:paraId="574C77E9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motivação da decisão sobre a matéria de facto desempenha diversas funções essenciais, desde logo permite às partes compreender as razões pelas quais determinados meios de prova foram considerados credíveis e outros desvalorizados, assegurando a transparência da decisão e prevenindo a arbitrariedade. </w:t>
      </w:r>
    </w:p>
    <w:p w14:paraId="2BA10E8C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Simultaneamente, possibilita o controlo jurisdicional da sentença arbitral, designadamente em sede de ação de anulação prevista no </w:t>
      </w:r>
      <w:r>
        <w:rPr>
          <w:rFonts w:ascii="Garamond" w:hAnsi="Garamond"/>
          <w:b/>
          <w:bCs/>
          <w:sz w:val="24"/>
          <w:szCs w:val="24"/>
        </w:rPr>
        <w:t>artigo 46.º</w:t>
      </w:r>
      <w:r>
        <w:rPr>
          <w:rFonts w:ascii="Garamond" w:hAnsi="Garamond"/>
          <w:sz w:val="24"/>
          <w:szCs w:val="24"/>
        </w:rPr>
        <w:t xml:space="preserve"> da LAV, sobretudo quando esteja em causa a violação de princípios fundamentais do processo arbitral.</w:t>
      </w:r>
    </w:p>
    <w:p w14:paraId="5CB7CFB9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jurisprudência portuguesa tem reiteradamente afirmado que a fundamentação não pode ser meramente aparente, genérica ou conclusiva. </w:t>
      </w:r>
    </w:p>
    <w:p w14:paraId="12A8D542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Exige-se uma motivação efetiva, ainda que sintética, apta a revelar o caminho lógico seguido pelo tribunal arbitral na formação da sua convicção. </w:t>
      </w:r>
    </w:p>
    <w:p w14:paraId="720A11C6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Neste sentido, o Supremo Tribunal de Justiça tem vindo a afirmar que a fundamentação da decisão sobre a matéria de facto não se basta com a mera indicação dos meios de prova considerados, exigindo antes a explicitação do percurso lógico-racional que conduziu à formação da convicção do julgador (Acórdão de </w:t>
      </w:r>
      <w:r>
        <w:rPr>
          <w:rFonts w:ascii="Garamond" w:hAnsi="Garamond"/>
          <w:sz w:val="24"/>
          <w:szCs w:val="24"/>
          <w:u w:val="single"/>
        </w:rPr>
        <w:t>24-11-2016</w:t>
      </w:r>
      <w:r>
        <w:rPr>
          <w:rFonts w:ascii="Garamond" w:hAnsi="Garamond"/>
          <w:sz w:val="24"/>
          <w:szCs w:val="24"/>
        </w:rPr>
        <w:t xml:space="preserve"> proferido nos autos do processo n.º1052/14.1TBBCL.P1.S1).</w:t>
      </w:r>
    </w:p>
    <w:p w14:paraId="0758E01B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Particularmente relevante é a articulação entre o princípio da livre apreciação da prova e o dever de fundamentação.</w:t>
      </w:r>
    </w:p>
    <w:p w14:paraId="779A12FE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Embora os árbitros beneficiem de ampla liberdade valorativa na apreciação dos meios probatórios essa liberdade não equivale a discricionariedade arbitrária. </w:t>
      </w:r>
    </w:p>
    <w:p w14:paraId="6CD79A66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convicção do tribunal arbitral deve assentar em critérios racionais, objetiváveis e controláveis, sendo precisamente a fundamentação o instrumento que exterioriza essa racionalidade decisória.</w:t>
      </w:r>
    </w:p>
    <w:p w14:paraId="264B2C46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Em síntese, a fundamentação da sentença arbitral relativamente à matéria de facto não constitui uma mera formalidade procedimental, mas antes uma exigência essencial de validade, racionalidade e legitimidade da decisão jurisdicional arbitral.</w:t>
      </w:r>
    </w:p>
    <w:p w14:paraId="2CEE3E97" w14:textId="77777777" w:rsidR="00C20A62" w:rsidRDefault="00C20A62" w:rsidP="00C20A62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Através dela assegura-se a transparência do exercício jurisdicional, a proteção dos direitos das partes e a possibilidade de controlo da atividade decisória do tribunal arbitral, reforçando-se, em última análise, a credibilidade e a confiança no sistema arbitral.</w:t>
      </w:r>
    </w:p>
    <w:p w14:paraId="0D4F7E6E" w14:textId="77777777" w:rsidR="00C20A62" w:rsidRDefault="00C20A62" w:rsidP="00D010E4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26E79587" w14:textId="224D8B65" w:rsidR="00D010E4" w:rsidRPr="003D34E5" w:rsidRDefault="00C20A62" w:rsidP="00D010E4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Assim, f</w:t>
      </w:r>
      <w:r w:rsidR="00D010E4" w:rsidRPr="003D34E5">
        <w:rPr>
          <w:rFonts w:ascii="Garamond" w:hAnsi="Garamond"/>
          <w:sz w:val="24"/>
          <w:szCs w:val="24"/>
        </w:rPr>
        <w:t xml:space="preserve">inda a produção de prova e tendo em conta a posição assumida pelo demandante no seu articulado, as declarações de parte assertivas, coerentes, pormenorizadas, seguras, </w:t>
      </w:r>
      <w:r w:rsidR="00D010E4" w:rsidRPr="003D34E5">
        <w:rPr>
          <w:rFonts w:ascii="Garamond" w:hAnsi="Garamond"/>
          <w:sz w:val="24"/>
          <w:szCs w:val="24"/>
        </w:rPr>
        <w:lastRenderedPageBreak/>
        <w:t>espontâneas, autênticas e genuínas e, por isso, credíveis do demandante</w:t>
      </w:r>
      <w:r w:rsidR="0067261A">
        <w:rPr>
          <w:rFonts w:ascii="Garamond" w:hAnsi="Garamond"/>
          <w:sz w:val="24"/>
          <w:szCs w:val="24"/>
        </w:rPr>
        <w:t xml:space="preserve">, </w:t>
      </w:r>
      <w:r w:rsidR="00D010E4" w:rsidRPr="003D34E5">
        <w:rPr>
          <w:rFonts w:ascii="Garamond" w:eastAsia="Times New Roman" w:hAnsi="Garamond"/>
          <w:sz w:val="24"/>
          <w:szCs w:val="24"/>
          <w:lang w:eastAsia="zh-CN"/>
        </w:rPr>
        <w:t>os documentos junto aos autos, os factos admitidos por acordo, confessados e/ou provados por documentos</w:t>
      </w:r>
      <w:r w:rsidR="00D010E4" w:rsidRPr="003D34E5">
        <w:rPr>
          <w:rFonts w:ascii="Garamond" w:hAnsi="Garamond"/>
          <w:sz w:val="24"/>
          <w:szCs w:val="24"/>
        </w:rPr>
        <w:t xml:space="preserve">, em conjugação, ainda, com as regras da experiência e com os juízos da normalidade da vida, </w:t>
      </w:r>
      <w:r w:rsidR="00D010E4" w:rsidRPr="003D34E5">
        <w:rPr>
          <w:rFonts w:ascii="Garamond" w:hAnsi="Garamond"/>
          <w:b/>
          <w:sz w:val="24"/>
          <w:szCs w:val="24"/>
          <w:highlight w:val="lightGray"/>
          <w:u w:val="single"/>
        </w:rPr>
        <w:t>resultaram provados</w:t>
      </w:r>
      <w:r w:rsidR="00D010E4" w:rsidRPr="003D34E5">
        <w:rPr>
          <w:rFonts w:ascii="Garamond" w:hAnsi="Garamond"/>
          <w:sz w:val="24"/>
          <w:szCs w:val="24"/>
        </w:rPr>
        <w:t xml:space="preserve">, com relevância para a decisão desta causa arbitral, os </w:t>
      </w:r>
      <w:r w:rsidR="00D010E4" w:rsidRPr="003D34E5">
        <w:rPr>
          <w:rFonts w:ascii="Garamond" w:hAnsi="Garamond"/>
          <w:b/>
          <w:bCs/>
          <w:sz w:val="24"/>
          <w:szCs w:val="24"/>
          <w:highlight w:val="lightGray"/>
          <w:u w:val="single"/>
        </w:rPr>
        <w:t>factos seguintes</w:t>
      </w:r>
      <w:r w:rsidR="00D010E4" w:rsidRPr="003D34E5">
        <w:rPr>
          <w:rFonts w:ascii="Garamond" w:hAnsi="Garamond"/>
          <w:sz w:val="24"/>
          <w:szCs w:val="24"/>
        </w:rPr>
        <w:t>:</w:t>
      </w:r>
    </w:p>
    <w:p w14:paraId="1D6034E9" w14:textId="7E048C3B" w:rsidR="00D010E4" w:rsidRDefault="00D010E4" w:rsidP="00D010E4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O demandante e a demandada celebraram um contrato de prestação de serviços </w:t>
      </w:r>
      <w:r w:rsidR="00184D5F">
        <w:rPr>
          <w:rFonts w:ascii="Garamond" w:eastAsia="Times New Roman" w:hAnsi="Garamond"/>
          <w:sz w:val="24"/>
          <w:szCs w:val="24"/>
          <w:lang w:eastAsia="zh-CN"/>
        </w:rPr>
        <w:t xml:space="preserve">de segurança 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sob a forma de adesão em </w:t>
      </w:r>
      <w:r w:rsidR="00184D5F">
        <w:rPr>
          <w:rFonts w:ascii="Garamond" w:eastAsia="Times New Roman" w:hAnsi="Garamond"/>
          <w:sz w:val="24"/>
          <w:szCs w:val="24"/>
          <w:u w:val="single"/>
          <w:lang w:eastAsia="zh-CN"/>
        </w:rPr>
        <w:t>31-08-2016</w:t>
      </w:r>
      <w:r w:rsidR="00184D5F">
        <w:rPr>
          <w:rFonts w:ascii="Garamond" w:eastAsia="Times New Roman" w:hAnsi="Garamond"/>
          <w:sz w:val="24"/>
          <w:szCs w:val="24"/>
          <w:lang w:eastAsia="zh-CN"/>
        </w:rPr>
        <w:t>;</w:t>
      </w:r>
    </w:p>
    <w:p w14:paraId="0EDA9275" w14:textId="77777777" w:rsidR="00D010E4" w:rsidRPr="003D34E5" w:rsidRDefault="00D010E4" w:rsidP="00184D5F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23154BD" w14:textId="77777777" w:rsidR="00D010E4" w:rsidRPr="003D34E5" w:rsidRDefault="00D010E4" w:rsidP="00D010E4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Mediante o pagamento de um preço mensal a demandada obrigou-se à prestação de serviços de segurança;</w:t>
      </w:r>
    </w:p>
    <w:p w14:paraId="698CC660" w14:textId="77777777" w:rsidR="00D010E4" w:rsidRPr="003D34E5" w:rsidRDefault="00D010E4" w:rsidP="00D010E4">
      <w:pPr>
        <w:pStyle w:val="PargrafodaLista"/>
        <w:rPr>
          <w:rFonts w:ascii="Garamond" w:eastAsia="Times New Roman" w:hAnsi="Garamond"/>
          <w:sz w:val="24"/>
          <w:szCs w:val="24"/>
          <w:lang w:eastAsia="zh-CN"/>
        </w:rPr>
      </w:pPr>
    </w:p>
    <w:p w14:paraId="58A34A7C" w14:textId="4375CF42" w:rsidR="00D010E4" w:rsidRPr="003D34E5" w:rsidRDefault="00D010E4" w:rsidP="00D010E4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O contrato foi celebrado no domicílio do demandante</w:t>
      </w:r>
      <w:r w:rsidR="00184D5F">
        <w:rPr>
          <w:rFonts w:ascii="Garamond" w:eastAsia="Times New Roman" w:hAnsi="Garamond"/>
          <w:sz w:val="24"/>
          <w:szCs w:val="24"/>
          <w:lang w:eastAsia="zh-CN"/>
        </w:rPr>
        <w:t>;</w:t>
      </w:r>
    </w:p>
    <w:p w14:paraId="0B6D4952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</w:p>
    <w:p w14:paraId="7AA29332" w14:textId="34A71569" w:rsidR="00D010E4" w:rsidRPr="003D34E5" w:rsidRDefault="00D010E4" w:rsidP="00D010E4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O demandante não negociou as cláusulas do contrato junto aos autos</w:t>
      </w:r>
      <w:r w:rsidR="00184D5F">
        <w:rPr>
          <w:rFonts w:ascii="Garamond" w:eastAsia="Times New Roman" w:hAnsi="Garamond"/>
          <w:sz w:val="24"/>
          <w:szCs w:val="24"/>
          <w:lang w:eastAsia="zh-CN"/>
        </w:rPr>
        <w:t>;</w:t>
      </w:r>
    </w:p>
    <w:p w14:paraId="49F5DF26" w14:textId="77777777" w:rsidR="00D010E4" w:rsidRPr="003D34E5" w:rsidRDefault="00D010E4" w:rsidP="00D010E4">
      <w:pPr>
        <w:pStyle w:val="PargrafodaLista"/>
        <w:rPr>
          <w:rFonts w:ascii="Garamond" w:eastAsia="Times New Roman" w:hAnsi="Garamond"/>
          <w:sz w:val="24"/>
          <w:szCs w:val="24"/>
          <w:lang w:eastAsia="zh-CN"/>
        </w:rPr>
      </w:pPr>
    </w:p>
    <w:p w14:paraId="787E838D" w14:textId="77777777" w:rsidR="00D010E4" w:rsidRPr="003D34E5" w:rsidRDefault="00D010E4" w:rsidP="00D010E4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O comercial da demandada presente na celebração do contrato não informou e/ou explicou as cláusulas ao demandante;</w:t>
      </w:r>
    </w:p>
    <w:p w14:paraId="2889B4C1" w14:textId="77777777" w:rsidR="00D010E4" w:rsidRPr="003D34E5" w:rsidRDefault="00D010E4" w:rsidP="00D010E4">
      <w:pPr>
        <w:pStyle w:val="PargrafodaLista"/>
        <w:rPr>
          <w:rFonts w:ascii="Garamond" w:eastAsia="Times New Roman" w:hAnsi="Garamond"/>
          <w:sz w:val="24"/>
          <w:szCs w:val="24"/>
          <w:lang w:eastAsia="zh-CN"/>
        </w:rPr>
      </w:pPr>
    </w:p>
    <w:p w14:paraId="45E825C2" w14:textId="77777777" w:rsidR="00D010E4" w:rsidRPr="003D34E5" w:rsidRDefault="00D010E4" w:rsidP="00D010E4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A demandada não informou e/ou explicou ao demandante as cláusulas do contrato antes, durante ou após a celebração do contrato;</w:t>
      </w:r>
    </w:p>
    <w:p w14:paraId="75FD4E8D" w14:textId="77777777" w:rsidR="00D010E4" w:rsidRPr="003D34E5" w:rsidRDefault="00D010E4" w:rsidP="00D010E4">
      <w:pPr>
        <w:pStyle w:val="PargrafodaLista"/>
        <w:rPr>
          <w:rFonts w:ascii="Garamond" w:eastAsia="Times New Roman" w:hAnsi="Garamond"/>
          <w:sz w:val="24"/>
          <w:szCs w:val="24"/>
          <w:lang w:eastAsia="zh-CN"/>
        </w:rPr>
      </w:pPr>
    </w:p>
    <w:p w14:paraId="11BB7794" w14:textId="77777777" w:rsidR="00D010E4" w:rsidRPr="003D34E5" w:rsidRDefault="00D010E4" w:rsidP="00D010E4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O demandante desconhecia a existência da renovação contratual automática e sucessiva por períodos de um ano.</w:t>
      </w:r>
    </w:p>
    <w:p w14:paraId="5FE72216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3D9C307" w14:textId="391133A8" w:rsidR="00D010E4" w:rsidRPr="00184D5F" w:rsidRDefault="00D010E4" w:rsidP="00184D5F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A demandada não informou o demandante que o contrato contemplava uma cláusula de renovação contratual automática e sucessiva por períodos de um ano;</w:t>
      </w:r>
    </w:p>
    <w:p w14:paraId="28C2EFF0" w14:textId="77777777" w:rsidR="00184D5F" w:rsidRDefault="00184D5F" w:rsidP="00184D5F">
      <w:pPr>
        <w:suppressAutoHyphens/>
        <w:spacing w:after="0" w:line="360" w:lineRule="auto"/>
        <w:ind w:left="72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41BA8A0" w14:textId="5B7CFD78" w:rsidR="00D010E4" w:rsidRPr="003D34E5" w:rsidRDefault="00D010E4" w:rsidP="00D010E4">
      <w:pPr>
        <w:numPr>
          <w:ilvl w:val="0"/>
          <w:numId w:val="25"/>
        </w:num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O demandante </w:t>
      </w:r>
      <w:r w:rsidR="00184D5F">
        <w:rPr>
          <w:rFonts w:ascii="Garamond" w:eastAsia="Times New Roman" w:hAnsi="Garamond"/>
          <w:sz w:val="24"/>
          <w:szCs w:val="24"/>
          <w:lang w:eastAsia="zh-CN"/>
        </w:rPr>
        <w:t>denunciou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o contrato em </w:t>
      </w:r>
      <w:r w:rsidR="00184D5F">
        <w:rPr>
          <w:rFonts w:ascii="Garamond" w:eastAsia="Times New Roman" w:hAnsi="Garamond"/>
          <w:sz w:val="24"/>
          <w:szCs w:val="24"/>
          <w:u w:val="single"/>
          <w:lang w:eastAsia="zh-CN"/>
        </w:rPr>
        <w:t>08-10</w:t>
      </w:r>
      <w:r w:rsidRPr="003D34E5">
        <w:rPr>
          <w:rFonts w:ascii="Garamond" w:eastAsia="Times New Roman" w:hAnsi="Garamond"/>
          <w:sz w:val="24"/>
          <w:szCs w:val="24"/>
          <w:u w:val="single"/>
          <w:lang w:eastAsia="zh-CN"/>
        </w:rPr>
        <w:t>-2025</w:t>
      </w:r>
      <w:r w:rsidR="00184D5F">
        <w:rPr>
          <w:rFonts w:ascii="Garamond" w:eastAsia="Times New Roman" w:hAnsi="Garamond"/>
          <w:sz w:val="24"/>
          <w:szCs w:val="24"/>
          <w:lang w:eastAsia="zh-CN"/>
        </w:rPr>
        <w:t xml:space="preserve">, para produzir efeitos trinta dias depois, 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através de comunicação escrita dirigida à demandada.</w:t>
      </w:r>
    </w:p>
    <w:p w14:paraId="6420EE18" w14:textId="77777777" w:rsidR="00D010E4" w:rsidRPr="003D34E5" w:rsidRDefault="00D010E4" w:rsidP="00D010E4">
      <w:pPr>
        <w:suppressAutoHyphens/>
        <w:spacing w:after="0" w:line="360" w:lineRule="auto"/>
        <w:ind w:left="72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E5B052E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Não existem outros factos, provados ou não provados, com relevância para esta sentença arbitral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64E29637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3A9BA62" w14:textId="77777777" w:rsidR="00D010E4" w:rsidRPr="003D34E5" w:rsidRDefault="00D010E4" w:rsidP="009C2A49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  <w:highlight w:val="lightGray"/>
        </w:rPr>
      </w:pPr>
      <w:r w:rsidRPr="003D34E5">
        <w:rPr>
          <w:rFonts w:ascii="Garamond" w:hAnsi="Garamond"/>
          <w:b/>
          <w:sz w:val="24"/>
          <w:szCs w:val="24"/>
          <w:highlight w:val="lightGray"/>
        </w:rPr>
        <w:t>A.2 – Motivação</w:t>
      </w:r>
      <w:r w:rsidRPr="003D34E5">
        <w:rPr>
          <w:rFonts w:ascii="Garamond" w:hAnsi="Garamond"/>
          <w:sz w:val="24"/>
          <w:szCs w:val="24"/>
        </w:rPr>
        <w:t>:</w:t>
      </w:r>
      <w:r w:rsidRPr="003D34E5">
        <w:rPr>
          <w:rFonts w:ascii="Garamond" w:hAnsi="Garamond"/>
          <w:sz w:val="24"/>
          <w:szCs w:val="24"/>
          <w:highlight w:val="lightGray"/>
        </w:rPr>
        <w:t xml:space="preserve"> </w:t>
      </w:r>
    </w:p>
    <w:p w14:paraId="01602BDB" w14:textId="77777777" w:rsidR="00D010E4" w:rsidRPr="003D34E5" w:rsidRDefault="00D010E4" w:rsidP="00D010E4">
      <w:pPr>
        <w:suppressAutoHyphens/>
        <w:spacing w:line="360" w:lineRule="auto"/>
        <w:jc w:val="both"/>
        <w:rPr>
          <w:rFonts w:ascii="Garamond" w:hAnsi="Garamond"/>
          <w:sz w:val="24"/>
          <w:szCs w:val="24"/>
          <w:lang w:eastAsia="zh-CN"/>
        </w:rPr>
      </w:pPr>
      <w:r w:rsidRPr="003D34E5">
        <w:rPr>
          <w:rFonts w:ascii="Garamond" w:hAnsi="Garamond"/>
          <w:bCs/>
          <w:sz w:val="24"/>
          <w:szCs w:val="24"/>
          <w:lang w:eastAsia="zh-CN"/>
        </w:rPr>
        <w:t xml:space="preserve">Este Tribunal Arbitral </w:t>
      </w:r>
      <w:r w:rsidRPr="003D34E5">
        <w:rPr>
          <w:rFonts w:ascii="Garamond" w:hAnsi="Garamond"/>
          <w:b/>
          <w:sz w:val="24"/>
          <w:szCs w:val="24"/>
          <w:highlight w:val="lightGray"/>
          <w:u w:val="single"/>
          <w:lang w:eastAsia="zh-CN"/>
        </w:rPr>
        <w:t>formou a sua convicção</w:t>
      </w:r>
      <w:r w:rsidRPr="003D34E5">
        <w:rPr>
          <w:rFonts w:ascii="Garamond" w:hAnsi="Garamond"/>
          <w:bCs/>
          <w:sz w:val="24"/>
          <w:szCs w:val="24"/>
          <w:lang w:eastAsia="zh-CN"/>
        </w:rPr>
        <w:t xml:space="preserve"> do modo seguinte</w:t>
      </w:r>
      <w:r w:rsidRPr="003D34E5">
        <w:rPr>
          <w:rFonts w:ascii="Garamond" w:hAnsi="Garamond"/>
          <w:sz w:val="24"/>
          <w:szCs w:val="24"/>
          <w:lang w:eastAsia="zh-CN"/>
        </w:rPr>
        <w:t>:</w:t>
      </w:r>
    </w:p>
    <w:p w14:paraId="74F0C6BA" w14:textId="43CEE137" w:rsidR="007569B3" w:rsidRPr="007569B3" w:rsidRDefault="00D010E4" w:rsidP="007569B3">
      <w:pPr>
        <w:pStyle w:val="PargrafodaLista"/>
        <w:numPr>
          <w:ilvl w:val="0"/>
          <w:numId w:val="3"/>
        </w:numPr>
        <w:suppressAutoHyphens/>
        <w:spacing w:after="0" w:line="360" w:lineRule="auto"/>
        <w:ind w:left="36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hAnsi="Garamond"/>
          <w:sz w:val="24"/>
          <w:szCs w:val="24"/>
          <w:lang w:eastAsia="zh-CN"/>
        </w:rPr>
        <w:t>Quanto aos factos n.ºs 1-9 pelas declarações de parte prestadas pelo demandante</w:t>
      </w:r>
      <w:r w:rsidR="007569B3">
        <w:rPr>
          <w:rFonts w:ascii="Garamond" w:hAnsi="Garamond"/>
          <w:sz w:val="24"/>
          <w:szCs w:val="24"/>
          <w:lang w:eastAsia="zh-CN"/>
        </w:rPr>
        <w:t xml:space="preserve"> na audiência arbitral, pelo contrato junto aos autos com a reclamação inicial e pela missiva de denúncia do contrato junto aos autos com a contestação.</w:t>
      </w:r>
    </w:p>
    <w:p w14:paraId="36E1228D" w14:textId="77777777" w:rsidR="007569B3" w:rsidRDefault="007569B3" w:rsidP="007569B3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88B1871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sz w:val="24"/>
          <w:szCs w:val="24"/>
          <w:lang w:eastAsia="zh-CN"/>
        </w:rPr>
        <w:t xml:space="preserve">As regras do ónus da prova estão consagradas no </w:t>
      </w:r>
      <w:r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</w:t>
      </w:r>
      <w:r>
        <w:rPr>
          <w:rFonts w:ascii="Garamond" w:eastAsia="Times New Roman" w:hAnsi="Garamond"/>
          <w:sz w:val="24"/>
          <w:szCs w:val="24"/>
          <w:lang w:eastAsia="zh-CN"/>
        </w:rPr>
        <w:t xml:space="preserve"> do Código Civil nos termos seguintes: “</w:t>
      </w:r>
      <w:r>
        <w:rPr>
          <w:rFonts w:ascii="Garamond" w:eastAsia="Times New Roman" w:hAnsi="Garamond"/>
          <w:i/>
          <w:iCs/>
          <w:sz w:val="24"/>
          <w:szCs w:val="24"/>
          <w:lang w:eastAsia="zh-CN"/>
        </w:rPr>
        <w:t>1. Àquele que invocar um direito cabe fazer a prova dos factos constitutivos do direito alegado. 2. A prova dos factos impeditivos, modificativos ou extintivos do direito invocado compete àquele contra quem a invocação é feita. 3. Em caso de dúvida, os factos devem ser considerados como constitutivos do direito.”</w:t>
      </w:r>
      <w:r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7B357E90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E456082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sz w:val="24"/>
          <w:szCs w:val="24"/>
          <w:lang w:eastAsia="zh-CN"/>
        </w:rPr>
        <w:t>Ao demandante competia provar os factos que, segundo a norma substantiva aplicável, servem de pressuposto ao efeito jurídico por ela pretendido, ou seja, terá o ónus de provar os factos constitutivos correspondentes à situação de facto traçada na norma substantiva em que funda a sua pretensão (</w:t>
      </w:r>
      <w:r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342.º/1</w:t>
      </w:r>
      <w:r>
        <w:rPr>
          <w:rFonts w:ascii="Garamond" w:eastAsia="Times New Roman" w:hAnsi="Garamond"/>
          <w:sz w:val="24"/>
          <w:szCs w:val="24"/>
          <w:lang w:eastAsia="zh-CN"/>
        </w:rPr>
        <w:t xml:space="preserve"> do Código Civil). </w:t>
      </w:r>
    </w:p>
    <w:p w14:paraId="5694415A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09C09A4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sz w:val="24"/>
          <w:szCs w:val="24"/>
          <w:lang w:eastAsia="zh-CN"/>
        </w:rPr>
        <w:t>À demandada incumbia a prova dos factos correspondentes à previsão (abstrata), da norma substantiva em que baseia a causa impeditiva, modificativa ou extintiva do efeito jurídico pretendido pelo demandante (</w:t>
      </w:r>
      <w:r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342.º/2</w:t>
      </w:r>
      <w:r>
        <w:rPr>
          <w:rFonts w:ascii="Garamond" w:eastAsia="Times New Roman" w:hAnsi="Garamond"/>
          <w:sz w:val="24"/>
          <w:szCs w:val="24"/>
          <w:lang w:eastAsia="zh-CN"/>
        </w:rPr>
        <w:t xml:space="preserve"> do Código Civil).</w:t>
      </w:r>
    </w:p>
    <w:p w14:paraId="4D2A9A4A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66DEE2F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sz w:val="24"/>
          <w:szCs w:val="24"/>
          <w:lang w:eastAsia="zh-CN"/>
        </w:rPr>
        <w:t>No que se refere ao ónus da prova, é habitual fazer-se a distinção entre ónus da prova subjetivo e objetivo, sendo que o primeiro visa determinar a parte sobre a qual recai o ónus de apresentar a prova de um facto controvertido ao passo que o segundo visa determinar a parte sobre a qual incide o risco da falta de prova desse facto.</w:t>
      </w:r>
    </w:p>
    <w:p w14:paraId="72577117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F9A6E7A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sz w:val="24"/>
          <w:szCs w:val="24"/>
          <w:lang w:eastAsia="zh-CN"/>
        </w:rPr>
        <w:t>Normalmente o risco da falta de prova de um facto incide sobre a parte onerada com a demonstração desse facto.</w:t>
      </w:r>
    </w:p>
    <w:p w14:paraId="028D0030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64CD7F3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sz w:val="24"/>
          <w:szCs w:val="24"/>
          <w:lang w:eastAsia="zh-CN"/>
        </w:rPr>
        <w:t>Para o apuramento da matéria de facto, formação da convicção deste tribunal arbitral e descoberta da verdade material e da justa composição deste litígio arbitral revelaram-se determinantes os meios de prova acima enunciados.</w:t>
      </w:r>
    </w:p>
    <w:p w14:paraId="54359285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642C977" w14:textId="77777777" w:rsidR="004E701A" w:rsidRDefault="004E701A" w:rsidP="004E701A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sz w:val="24"/>
          <w:szCs w:val="24"/>
          <w:lang w:eastAsia="zh-CN"/>
        </w:rPr>
        <w:lastRenderedPageBreak/>
        <w:t>Relativamente à matéria de facto que não resultou provada, cumpre referir, para além do acima exposto, que o tribunal se fundamentou na ponderação de toda a prova produzida e, bem assim, na total ausência de produção de prova documental e/ou testemunhal suficientemente consistente e segura para considerar como provada a sua realidade, ou seja, relativamente aos factos não provados, cremos que não foi realizada prova suficiente e convincente dos mesmos.</w:t>
      </w:r>
    </w:p>
    <w:p w14:paraId="02D8EB07" w14:textId="77777777" w:rsidR="004E701A" w:rsidRDefault="004E701A" w:rsidP="007569B3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EE9B4AE" w14:textId="6518C8B6" w:rsidR="00D010E4" w:rsidRPr="007569B3" w:rsidRDefault="00D010E4" w:rsidP="007569B3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7569B3">
        <w:rPr>
          <w:rFonts w:ascii="Garamond" w:eastAsia="Times New Roman" w:hAnsi="Garamond"/>
          <w:sz w:val="24"/>
          <w:szCs w:val="24"/>
          <w:lang w:eastAsia="zh-CN"/>
        </w:rPr>
        <w:t>Para o apuramento da matéria de facto revelaram-se determinantes as declarações de parte do demandante, dada a genuinidade e autenticidade das mesmas, não tendo o tribunal descortinado qualquer sinal de falsidade no teor das suas declarações e/ou de contradição entre as mesmas, assim como com os documentos juntos com a reclamação inicial</w:t>
      </w:r>
      <w:r w:rsidR="004E701A">
        <w:rPr>
          <w:rFonts w:ascii="Garamond" w:eastAsia="Times New Roman" w:hAnsi="Garamond"/>
          <w:sz w:val="24"/>
          <w:szCs w:val="24"/>
          <w:lang w:eastAsia="zh-CN"/>
        </w:rPr>
        <w:t xml:space="preserve"> e com a contestação.</w:t>
      </w:r>
    </w:p>
    <w:p w14:paraId="7592D721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D53F24B" w14:textId="2BA425AB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Deste modo o demandante cumpriu o ónus da prova que encontra consagrado no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342.º/1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do Código Civil, quanto os factos constitutivos do direito a ser desobrigado da vinculação contratual e pagamento das mensalidades a partir de </w:t>
      </w:r>
      <w:r w:rsidR="004E701A">
        <w:rPr>
          <w:rFonts w:ascii="Garamond" w:eastAsia="Times New Roman" w:hAnsi="Garamond"/>
          <w:sz w:val="24"/>
          <w:szCs w:val="24"/>
          <w:u w:val="single"/>
          <w:lang w:eastAsia="zh-CN"/>
        </w:rPr>
        <w:t>07-11-2025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3882F0E7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260969A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De todo o modo, o demandante estava desobrigado do ónus da prova do conhecimento e informação acerca da cláusula de renovação automática e sucessiva nos termos acima descritos.</w:t>
      </w:r>
    </w:p>
    <w:p w14:paraId="1E7E4CC4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E53C53B" w14:textId="6CF4C69C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Tratando-se de um contrato de adesão em que o demandante não negociou nenhuma das cláusulas do contrato que se encontram no verso do Doc.</w:t>
      </w:r>
      <w:r w:rsidR="00414826">
        <w:rPr>
          <w:rFonts w:ascii="Garamond" w:eastAsia="Times New Roman" w:hAnsi="Garamond"/>
          <w:sz w:val="24"/>
          <w:szCs w:val="24"/>
          <w:lang w:eastAsia="zh-CN"/>
        </w:rPr>
        <w:t>1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junto com a reclamação inicial, limitando-se, por isso, a assinar a minuta que lhe foi entregue pela demandada, recaía sobre esta o ónus da prova do cumprimento dos deveres de informação e comunicação previstos nos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artigos 5.º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e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6.º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do Decreto-Lei n.º446/85, de 25/10, dada a presunção legal consagrada no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5.º/3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que conjugada com 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344.º/1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, do Código Civil, dispensa o demandante de provar que tal comunicação e informação não ocorreram efetivamente.</w:t>
      </w:r>
    </w:p>
    <w:p w14:paraId="1EC253F5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01BAAA8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Não tendo a demandada prova da comunicação adequada e efetiva ao demandante das cláusulas contratuais gerais, nomeadamente a que diz respeito à renovação automática e sucessiva, este tribunal arbitral conclui que a demandada não cumpriu o ónus da prova previsto no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344.º/1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do Código Civil, assim como não conseguiu afastar, nos termos 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lastRenderedPageBreak/>
        <w:t xml:space="preserve">e para os efeitos previstos no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350.º/2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do Código Civil, a presunção legal resultante do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5.º/3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, acima referido.</w:t>
      </w:r>
    </w:p>
    <w:p w14:paraId="606EC1E6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41190B7" w14:textId="5F0A4B69" w:rsidR="00D010E4" w:rsidRPr="003D34E5" w:rsidRDefault="009C2A49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IV</w:t>
      </w:r>
      <w:r w:rsidR="00D010E4" w:rsidRPr="003D34E5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. – Enquadramento de Direito</w:t>
      </w:r>
      <w:r w:rsidR="00D010E4" w:rsidRPr="003D34E5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00E96F23" w14:textId="7CE25F88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A questão objeto deste litígio arbitral resume-se em saber se a atuação da demandada é legal e, consequentemente, se o demandante está obrigado a manter-se vinculado, até </w:t>
      </w:r>
      <w:r w:rsidR="00414826">
        <w:rPr>
          <w:rFonts w:ascii="Garamond" w:eastAsia="Times New Roman" w:hAnsi="Garamond"/>
          <w:sz w:val="24"/>
          <w:szCs w:val="24"/>
          <w:lang w:eastAsia="zh-CN"/>
        </w:rPr>
        <w:t xml:space="preserve">agosto 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de 202</w:t>
      </w:r>
      <w:r w:rsidR="00414826">
        <w:rPr>
          <w:rFonts w:ascii="Garamond" w:eastAsia="Times New Roman" w:hAnsi="Garamond"/>
          <w:sz w:val="24"/>
          <w:szCs w:val="24"/>
          <w:lang w:eastAsia="zh-CN"/>
        </w:rPr>
        <w:t>6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, ao contrato de prestação de serviços celebrado com a demandada, conforme comunicado por esta ao demandante e, consequentemente, ao pagamento das mensalidades do preço contratual até àquela data.</w:t>
      </w:r>
    </w:p>
    <w:p w14:paraId="16593D1A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889C870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Da matéria de facto dada como provada resulta, suficientemente, para este tribunal, que a atuação da demandada não cumpriu os princípios e os deveres enunciados na Lei n.º24/96, de 31/07, e no Decreto-Lei n.º446/85, de 25/10, desde logo ao nível do dever de comunicação e informação ao demandante da cláusula de renovação automática e sucessiva.</w:t>
      </w:r>
    </w:p>
    <w:p w14:paraId="58DB6CA8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4E443EB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3D34E5">
        <w:rPr>
          <w:rFonts w:ascii="Garamond" w:hAnsi="Garamond" w:cs="Courier New"/>
          <w:sz w:val="24"/>
          <w:szCs w:val="24"/>
        </w:rPr>
        <w:t>O prestador de serviços encontra-se vinculado ao princípio geral da boa-fé, ao dever de informação e a prestar os serviços contratados segundo padrões de qualidade (</w:t>
      </w:r>
      <w:r w:rsidRPr="003D34E5">
        <w:rPr>
          <w:rFonts w:ascii="Garamond" w:hAnsi="Garamond" w:cs="Courier New"/>
          <w:b/>
          <w:sz w:val="24"/>
          <w:szCs w:val="24"/>
        </w:rPr>
        <w:t>artigos 3.º, 4.º</w:t>
      </w:r>
      <w:r w:rsidRPr="003D34E5">
        <w:rPr>
          <w:rFonts w:ascii="Garamond" w:hAnsi="Garamond" w:cs="Courier New"/>
          <w:sz w:val="24"/>
          <w:szCs w:val="24"/>
        </w:rPr>
        <w:t xml:space="preserve">, </w:t>
      </w:r>
      <w:r w:rsidRPr="003D34E5">
        <w:rPr>
          <w:rFonts w:ascii="Garamond" w:hAnsi="Garamond" w:cs="Courier New"/>
          <w:b/>
          <w:sz w:val="24"/>
          <w:szCs w:val="24"/>
        </w:rPr>
        <w:t>8.º</w:t>
      </w:r>
      <w:r w:rsidRPr="003D34E5">
        <w:rPr>
          <w:rFonts w:ascii="Garamond" w:hAnsi="Garamond" w:cs="Courier New"/>
          <w:sz w:val="24"/>
          <w:szCs w:val="24"/>
        </w:rPr>
        <w:t xml:space="preserve"> e </w:t>
      </w:r>
      <w:r w:rsidRPr="003D34E5">
        <w:rPr>
          <w:rFonts w:ascii="Garamond" w:hAnsi="Garamond" w:cs="Courier New"/>
          <w:b/>
          <w:sz w:val="24"/>
          <w:szCs w:val="24"/>
        </w:rPr>
        <w:t>9.º</w:t>
      </w:r>
      <w:r w:rsidRPr="003D34E5">
        <w:rPr>
          <w:rFonts w:ascii="Garamond" w:hAnsi="Garamond" w:cs="Courier New"/>
          <w:sz w:val="24"/>
          <w:szCs w:val="24"/>
        </w:rPr>
        <w:t xml:space="preserve"> da Lei n.º24/96, de 31/07).</w:t>
      </w:r>
    </w:p>
    <w:p w14:paraId="740E74DF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</w:p>
    <w:p w14:paraId="69A67B6E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3D34E5">
        <w:rPr>
          <w:rFonts w:ascii="Garamond" w:hAnsi="Garamond" w:cs="Courier New"/>
          <w:sz w:val="24"/>
          <w:szCs w:val="24"/>
        </w:rPr>
        <w:t>“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Os bens e serviços destinados ao consumo devem ser aptos a satisfazer os fins a que se destinam e a produzir os efeitos que se lhes atribuem, segundo as normas legalmente estabelecidas, ou, na falta delas, de modo adequado às legítimas expectativas do consumidor.”</w:t>
      </w:r>
      <w:r w:rsidRPr="003D34E5">
        <w:rPr>
          <w:rFonts w:ascii="Garamond" w:hAnsi="Garamond" w:cs="Arial"/>
          <w:sz w:val="24"/>
          <w:szCs w:val="24"/>
          <w:lang w:eastAsia="pt-PT"/>
        </w:rPr>
        <w:t xml:space="preserve"> </w:t>
      </w:r>
      <w:r w:rsidRPr="003D34E5">
        <w:rPr>
          <w:rFonts w:ascii="Garamond" w:hAnsi="Garamond" w:cs="Courier New"/>
          <w:sz w:val="24"/>
          <w:szCs w:val="24"/>
        </w:rPr>
        <w:t>(</w:t>
      </w:r>
      <w:r w:rsidRPr="003D34E5">
        <w:rPr>
          <w:rFonts w:ascii="Garamond" w:hAnsi="Garamond" w:cs="Courier New"/>
          <w:b/>
          <w:sz w:val="24"/>
          <w:szCs w:val="24"/>
        </w:rPr>
        <w:t>artigo 4.º/1</w:t>
      </w:r>
      <w:r w:rsidRPr="003D34E5">
        <w:rPr>
          <w:rFonts w:ascii="Garamond" w:hAnsi="Garamond" w:cs="Courier New"/>
          <w:sz w:val="24"/>
          <w:szCs w:val="24"/>
        </w:rPr>
        <w:t>),</w:t>
      </w:r>
    </w:p>
    <w:p w14:paraId="32DA24DF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</w:p>
    <w:p w14:paraId="75C546CA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3D34E5">
        <w:rPr>
          <w:rFonts w:ascii="Garamond" w:hAnsi="Garamond" w:cs="Courier New"/>
          <w:i/>
          <w:sz w:val="24"/>
          <w:szCs w:val="24"/>
        </w:rPr>
        <w:t>“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1 - O fornecedor de bens ou prestador de serviços deve, tanto na fase de negociações como na fase de celebração de um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contrato, informar o consumidor de forma clara, objetiva e adequada (…)</w:t>
      </w:r>
      <w:r w:rsidRPr="003D34E5">
        <w:rPr>
          <w:rFonts w:ascii="Garamond" w:hAnsi="Garamond" w:cs="Courier New"/>
          <w:i/>
          <w:sz w:val="24"/>
          <w:szCs w:val="24"/>
        </w:rPr>
        <w:t>”</w:t>
      </w:r>
      <w:r w:rsidRPr="003D34E5">
        <w:rPr>
          <w:rFonts w:ascii="Garamond" w:hAnsi="Garamond" w:cs="Courier New"/>
          <w:sz w:val="24"/>
          <w:szCs w:val="24"/>
        </w:rPr>
        <w:t xml:space="preserve"> (</w:t>
      </w:r>
      <w:r w:rsidRPr="003D34E5">
        <w:rPr>
          <w:rFonts w:ascii="Garamond" w:hAnsi="Garamond" w:cs="Courier New"/>
          <w:b/>
          <w:sz w:val="24"/>
          <w:szCs w:val="24"/>
        </w:rPr>
        <w:t>artigo 8.º/1</w:t>
      </w:r>
      <w:r w:rsidRPr="003D34E5">
        <w:rPr>
          <w:rFonts w:ascii="Garamond" w:hAnsi="Garamond" w:cs="Courier New"/>
          <w:sz w:val="24"/>
          <w:szCs w:val="24"/>
        </w:rPr>
        <w:t>).</w:t>
      </w:r>
    </w:p>
    <w:p w14:paraId="2C39B409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</w:p>
    <w:p w14:paraId="3CBC9277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  <w:r w:rsidRPr="003D34E5">
        <w:rPr>
          <w:rFonts w:ascii="Garamond" w:hAnsi="Garamond" w:cs="Courier New"/>
          <w:i/>
          <w:sz w:val="24"/>
          <w:szCs w:val="24"/>
        </w:rPr>
        <w:t>“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 xml:space="preserve">1 - O consumidor tem direito à </w:t>
      </w:r>
      <w:proofErr w:type="spellStart"/>
      <w:r w:rsidRPr="003D34E5">
        <w:rPr>
          <w:rFonts w:ascii="Garamond" w:hAnsi="Garamond" w:cs="Arial"/>
          <w:i/>
          <w:sz w:val="24"/>
          <w:szCs w:val="24"/>
          <w:lang w:eastAsia="pt-PT"/>
        </w:rPr>
        <w:t>protecção</w:t>
      </w:r>
      <w:proofErr w:type="spellEnd"/>
      <w:r w:rsidRPr="003D34E5">
        <w:rPr>
          <w:rFonts w:ascii="Garamond" w:hAnsi="Garamond" w:cs="Arial"/>
          <w:i/>
          <w:sz w:val="24"/>
          <w:szCs w:val="24"/>
          <w:lang w:eastAsia="pt-PT"/>
        </w:rPr>
        <w:t xml:space="preserve"> dos seus interesses económicos, impondo-se nas relações jurídicas de consumo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a igualdade material dos intervenientes, a lealdade e a boa fé, nos preliminares, na formação e ainda na vigência dos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contratos.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2 - Com vista à prevenção de abusos resultantes de contratos pré-elaborados, o fornecedor de bens e o prestador de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serviços estão obrigados: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 xml:space="preserve">a) À </w:t>
      </w:r>
      <w:proofErr w:type="spellStart"/>
      <w:r w:rsidRPr="003D34E5">
        <w:rPr>
          <w:rFonts w:ascii="Garamond" w:hAnsi="Garamond" w:cs="Arial"/>
          <w:i/>
          <w:sz w:val="24"/>
          <w:szCs w:val="24"/>
          <w:lang w:eastAsia="pt-PT"/>
        </w:rPr>
        <w:t>redacção</w:t>
      </w:r>
      <w:proofErr w:type="spellEnd"/>
      <w:r w:rsidRPr="003D34E5">
        <w:rPr>
          <w:rFonts w:ascii="Garamond" w:hAnsi="Garamond" w:cs="Arial"/>
          <w:i/>
          <w:sz w:val="24"/>
          <w:szCs w:val="24"/>
          <w:lang w:eastAsia="pt-PT"/>
        </w:rPr>
        <w:t xml:space="preserve"> clara e precisa, em caracteres facilmente legíveis, das cláusulas contratuais gerais, incluindo as inseridas em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contratos singulares;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b) À não inclusão de cláusulas em contratos singulares que originem significativo desequilíbrio em detrimento do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lastRenderedPageBreak/>
        <w:t>consumidor.</w:t>
      </w:r>
      <w:r w:rsidRPr="003D34E5">
        <w:rPr>
          <w:rFonts w:ascii="Garamond" w:hAnsi="Garamond" w:cs="Courier New"/>
          <w:i/>
          <w:sz w:val="24"/>
          <w:szCs w:val="24"/>
        </w:rPr>
        <w:t xml:space="preserve">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 xml:space="preserve">3 - A inobservância do disposto no número anterior fica sujeita ao regime das cláusulas contratuais gerais.” </w:t>
      </w:r>
      <w:r w:rsidRPr="003D34E5">
        <w:rPr>
          <w:rFonts w:ascii="Garamond" w:hAnsi="Garamond" w:cs="Arial"/>
          <w:sz w:val="24"/>
          <w:szCs w:val="24"/>
          <w:lang w:eastAsia="pt-PT"/>
        </w:rPr>
        <w:t>(</w:t>
      </w:r>
      <w:r w:rsidRPr="003D34E5">
        <w:rPr>
          <w:rFonts w:ascii="Garamond" w:hAnsi="Garamond" w:cs="Arial"/>
          <w:b/>
          <w:sz w:val="24"/>
          <w:szCs w:val="24"/>
          <w:lang w:eastAsia="pt-PT"/>
        </w:rPr>
        <w:t>artigo 9.º/1/2/3</w:t>
      </w:r>
      <w:r w:rsidRPr="003D34E5">
        <w:rPr>
          <w:rFonts w:ascii="Garamond" w:hAnsi="Garamond" w:cs="Arial"/>
          <w:sz w:val="24"/>
          <w:szCs w:val="24"/>
          <w:lang w:eastAsia="pt-PT"/>
        </w:rPr>
        <w:t>).</w:t>
      </w:r>
    </w:p>
    <w:p w14:paraId="294BA6DD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</w:p>
    <w:p w14:paraId="564D38A3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 w:cs="Arial"/>
          <w:i/>
          <w:sz w:val="24"/>
          <w:szCs w:val="24"/>
          <w:lang w:eastAsia="pt-PT"/>
        </w:rPr>
        <w:t>“</w:t>
      </w:r>
      <w:r w:rsidRPr="003D34E5">
        <w:rPr>
          <w:rFonts w:ascii="Garamond" w:hAnsi="Garamond"/>
          <w:i/>
          <w:sz w:val="24"/>
          <w:szCs w:val="24"/>
        </w:rPr>
        <w:t xml:space="preserve">1 - As cláusulas contratuais gerais devem ser comunicadas na íntegra aos aderentes que se limitem a subscrevê-las ou a aceitá-las. 2 - A comunicação deve ser realizada de modo adequado e com a antecedência necessária para que, tendo em conta a importância do contrato e a extensão e complexidade das cláusulas, se torne possível o seu conhecimento completo e </w:t>
      </w:r>
      <w:proofErr w:type="spellStart"/>
      <w:r w:rsidRPr="003D34E5">
        <w:rPr>
          <w:rFonts w:ascii="Garamond" w:hAnsi="Garamond"/>
          <w:i/>
          <w:sz w:val="24"/>
          <w:szCs w:val="24"/>
        </w:rPr>
        <w:t>efectivo</w:t>
      </w:r>
      <w:proofErr w:type="spellEnd"/>
      <w:r w:rsidRPr="003D34E5">
        <w:rPr>
          <w:rFonts w:ascii="Garamond" w:hAnsi="Garamond"/>
          <w:i/>
          <w:sz w:val="24"/>
          <w:szCs w:val="24"/>
        </w:rPr>
        <w:t xml:space="preserve"> por quem use de comum diligência. 3 - O ónus da prova da comunicação adequada e </w:t>
      </w:r>
      <w:proofErr w:type="spellStart"/>
      <w:r w:rsidRPr="003D34E5">
        <w:rPr>
          <w:rFonts w:ascii="Garamond" w:hAnsi="Garamond"/>
          <w:i/>
          <w:sz w:val="24"/>
          <w:szCs w:val="24"/>
        </w:rPr>
        <w:t>efectiva</w:t>
      </w:r>
      <w:proofErr w:type="spellEnd"/>
      <w:r w:rsidRPr="003D34E5">
        <w:rPr>
          <w:rFonts w:ascii="Garamond" w:hAnsi="Garamond"/>
          <w:i/>
          <w:sz w:val="24"/>
          <w:szCs w:val="24"/>
        </w:rPr>
        <w:t xml:space="preserve"> cabe ao contratante que submeta a outrem as cláusulas contratuais gerais.”</w:t>
      </w:r>
      <w:r w:rsidRPr="003D34E5">
        <w:rPr>
          <w:rFonts w:ascii="Garamond" w:hAnsi="Garamond"/>
          <w:sz w:val="24"/>
          <w:szCs w:val="24"/>
        </w:rPr>
        <w:t xml:space="preserve"> (</w:t>
      </w:r>
      <w:r w:rsidRPr="003D34E5">
        <w:rPr>
          <w:rFonts w:ascii="Garamond" w:hAnsi="Garamond"/>
          <w:b/>
          <w:sz w:val="24"/>
          <w:szCs w:val="24"/>
        </w:rPr>
        <w:t>artigo 5.º/1/2/3</w:t>
      </w:r>
      <w:r w:rsidRPr="003D34E5">
        <w:rPr>
          <w:rFonts w:ascii="Garamond" w:hAnsi="Garamond"/>
          <w:sz w:val="24"/>
          <w:szCs w:val="24"/>
        </w:rPr>
        <w:t>, do Decreto-Lei n.º446/85, de 25/10).</w:t>
      </w:r>
    </w:p>
    <w:p w14:paraId="6B82A293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DA3C7AF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i/>
          <w:sz w:val="24"/>
          <w:szCs w:val="24"/>
        </w:rPr>
        <w:t xml:space="preserve">“1 - O contratante determinado que recorra a cláusulas contratuais gerais deve informar, de acordo com as circunstâncias, a outra parte dos </w:t>
      </w:r>
      <w:proofErr w:type="spellStart"/>
      <w:r w:rsidRPr="003D34E5">
        <w:rPr>
          <w:rFonts w:ascii="Garamond" w:hAnsi="Garamond"/>
          <w:i/>
          <w:sz w:val="24"/>
          <w:szCs w:val="24"/>
        </w:rPr>
        <w:t>aspectos</w:t>
      </w:r>
      <w:proofErr w:type="spellEnd"/>
      <w:r w:rsidRPr="003D34E5">
        <w:rPr>
          <w:rFonts w:ascii="Garamond" w:hAnsi="Garamond"/>
          <w:i/>
          <w:sz w:val="24"/>
          <w:szCs w:val="24"/>
        </w:rPr>
        <w:t xml:space="preserve"> nelas compreendidos cuja aclaração se justifique. 2 - Devem ainda ser prestados todos os esclarecimentos razoáveis solicitados.”</w:t>
      </w:r>
      <w:r w:rsidRPr="003D34E5">
        <w:rPr>
          <w:rFonts w:ascii="Garamond" w:hAnsi="Garamond"/>
          <w:sz w:val="24"/>
          <w:szCs w:val="24"/>
        </w:rPr>
        <w:t xml:space="preserve"> (</w:t>
      </w:r>
      <w:r w:rsidRPr="003D34E5">
        <w:rPr>
          <w:rFonts w:ascii="Garamond" w:hAnsi="Garamond"/>
          <w:b/>
          <w:sz w:val="24"/>
          <w:szCs w:val="24"/>
        </w:rPr>
        <w:t>artigo 6.º/1/2</w:t>
      </w:r>
      <w:r w:rsidRPr="003D34E5">
        <w:rPr>
          <w:rFonts w:ascii="Garamond" w:hAnsi="Garamond"/>
          <w:sz w:val="24"/>
          <w:szCs w:val="24"/>
        </w:rPr>
        <w:t>).</w:t>
      </w:r>
    </w:p>
    <w:p w14:paraId="5F3035CD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78CE046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D34E5">
        <w:rPr>
          <w:rFonts w:ascii="Garamond" w:hAnsi="Garamond"/>
          <w:sz w:val="24"/>
          <w:szCs w:val="24"/>
        </w:rPr>
        <w:t>“</w:t>
      </w:r>
      <w:r w:rsidRPr="003D34E5">
        <w:rPr>
          <w:rFonts w:ascii="Garamond" w:hAnsi="Garamond"/>
          <w:i/>
          <w:sz w:val="24"/>
          <w:szCs w:val="24"/>
        </w:rPr>
        <w:t xml:space="preserve">Consideram-se excluídas dos contratos singulares: a) As cláusulas que não tenham sido comunicadas nos termos do artigo 5.º; b) As cláusulas comunicadas com violação do dever de informação, de molde que não seja de esperar o seu conhecimento </w:t>
      </w:r>
      <w:proofErr w:type="spellStart"/>
      <w:r w:rsidRPr="003D34E5">
        <w:rPr>
          <w:rFonts w:ascii="Garamond" w:hAnsi="Garamond"/>
          <w:i/>
          <w:sz w:val="24"/>
          <w:szCs w:val="24"/>
        </w:rPr>
        <w:t>efectivo</w:t>
      </w:r>
      <w:proofErr w:type="spellEnd"/>
      <w:r w:rsidRPr="003D34E5">
        <w:rPr>
          <w:rFonts w:ascii="Garamond" w:hAnsi="Garamond"/>
          <w:sz w:val="24"/>
          <w:szCs w:val="24"/>
        </w:rPr>
        <w:t>; (</w:t>
      </w:r>
      <w:r w:rsidRPr="003D34E5">
        <w:rPr>
          <w:rFonts w:ascii="Garamond" w:hAnsi="Garamond"/>
          <w:b/>
          <w:sz w:val="24"/>
          <w:szCs w:val="24"/>
        </w:rPr>
        <w:t>artigo 8.º/alíneas a) e b)</w:t>
      </w:r>
      <w:r w:rsidRPr="003D34E5">
        <w:rPr>
          <w:rFonts w:ascii="Garamond" w:hAnsi="Garamond"/>
          <w:sz w:val="24"/>
          <w:szCs w:val="24"/>
        </w:rPr>
        <w:t>).</w:t>
      </w:r>
    </w:p>
    <w:p w14:paraId="5284BF5C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2A612A7" w14:textId="08FF0838" w:rsidR="00C43E1C" w:rsidRDefault="00C43E1C" w:rsidP="00C43E1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C43E1C">
        <w:rPr>
          <w:rFonts w:ascii="Garamond" w:hAnsi="Garamond" w:cs="Courier New"/>
          <w:sz w:val="24"/>
          <w:szCs w:val="24"/>
        </w:rPr>
        <w:t xml:space="preserve">Ao omitir a informação relativa à renovação automática e sucessiva do contrato celebrado entre as partes, a demandada incumpriu os deveres pré-contratuais e contratuais de informação e transparência que sobre si impendiam, comprometendo a formação de uma vontade contratual livre, esclarecida e consciente por parte do demandante. Tal conduta traduz uma violação do princípio geral da boa-fé, consagrado no </w:t>
      </w:r>
      <w:r w:rsidRPr="00C43E1C">
        <w:rPr>
          <w:rFonts w:ascii="Garamond" w:hAnsi="Garamond" w:cs="Courier New"/>
          <w:b/>
          <w:bCs/>
          <w:sz w:val="24"/>
          <w:szCs w:val="24"/>
        </w:rPr>
        <w:t>artigo 762.º/2</w:t>
      </w:r>
      <w:r w:rsidRPr="00C43E1C">
        <w:rPr>
          <w:rFonts w:ascii="Garamond" w:hAnsi="Garamond" w:cs="Courier New"/>
          <w:sz w:val="24"/>
          <w:szCs w:val="24"/>
        </w:rPr>
        <w:t>, do Código Civil, princípio estruturante de todo o direito contratual, que impõe às partes deveres de lealdade, correção, cooperação e proteção dos legítimos interesses da contraparte, tanto na fase de formação como na execução do contrato</w:t>
      </w:r>
      <w:r>
        <w:rPr>
          <w:rFonts w:ascii="Garamond" w:hAnsi="Garamond" w:cs="Courier New"/>
          <w:sz w:val="24"/>
          <w:szCs w:val="24"/>
        </w:rPr>
        <w:t>.</w:t>
      </w:r>
    </w:p>
    <w:p w14:paraId="499C32C2" w14:textId="77777777" w:rsidR="00C43E1C" w:rsidRPr="00C43E1C" w:rsidRDefault="00C43E1C" w:rsidP="00C43E1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</w:p>
    <w:p w14:paraId="1B288746" w14:textId="3AEAF807" w:rsidR="00C43E1C" w:rsidRDefault="00C43E1C" w:rsidP="00C43E1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C43E1C">
        <w:rPr>
          <w:rFonts w:ascii="Garamond" w:hAnsi="Garamond" w:cs="Courier New"/>
          <w:sz w:val="24"/>
          <w:szCs w:val="24"/>
        </w:rPr>
        <w:t xml:space="preserve">Paralelamente, a demandada incumpriu os deveres de prestação do serviço segundo elevados padrões de qualidade, bem como os deveres de informação e comunicação clara, completa, verdadeira e adequada ao consumidor, previstos na Lei n.º 24/96, de 31 de julho. </w:t>
      </w:r>
    </w:p>
    <w:p w14:paraId="0AF5CC7D" w14:textId="6C1DB305" w:rsidR="00C43E1C" w:rsidRDefault="00C43E1C" w:rsidP="00C43E1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C43E1C">
        <w:rPr>
          <w:rFonts w:ascii="Garamond" w:hAnsi="Garamond" w:cs="Courier New"/>
          <w:sz w:val="24"/>
          <w:szCs w:val="24"/>
        </w:rPr>
        <w:t xml:space="preserve">Com efeito, a falta de informação acerca da renovação automática do vínculo contratual privou o demandante de conhecer uma cláusula com manifesta relevância económica e </w:t>
      </w:r>
      <w:r w:rsidRPr="00C43E1C">
        <w:rPr>
          <w:rFonts w:ascii="Garamond" w:hAnsi="Garamond" w:cs="Courier New"/>
          <w:sz w:val="24"/>
          <w:szCs w:val="24"/>
        </w:rPr>
        <w:lastRenderedPageBreak/>
        <w:t>jurídica, limitando a sua capacidade de avaliar as consequências da contratação e de exercer, em tempo útil, a faculdade de impedir a renovação ou de denunciar o contrato.</w:t>
      </w:r>
    </w:p>
    <w:p w14:paraId="63786C78" w14:textId="77777777" w:rsidR="00C43E1C" w:rsidRPr="00C43E1C" w:rsidRDefault="00C43E1C" w:rsidP="00C43E1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</w:p>
    <w:p w14:paraId="225F3126" w14:textId="77777777" w:rsidR="00C43E1C" w:rsidRDefault="00C43E1C" w:rsidP="00C43E1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C43E1C">
        <w:rPr>
          <w:rFonts w:ascii="Garamond" w:hAnsi="Garamond" w:cs="Courier New"/>
          <w:sz w:val="24"/>
          <w:szCs w:val="24"/>
        </w:rPr>
        <w:t xml:space="preserve">Esta omissão representa ainda uma lesão do direito do consumidor à proteção dos seus interesses económicos, porquanto o demandante permaneceu vinculado contratualmente para além do período que razoavelmente poderia considerar como sendo a duração inicial do contrato, suportando encargos que poderiam ter sido evitados caso tivesse sido devidamente informado das condições de renovação. </w:t>
      </w:r>
    </w:p>
    <w:p w14:paraId="001335CC" w14:textId="77777777" w:rsidR="00C43E1C" w:rsidRDefault="00C43E1C" w:rsidP="00C43E1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</w:p>
    <w:p w14:paraId="12B29F92" w14:textId="38ED3B93" w:rsidR="00C43E1C" w:rsidRPr="00C43E1C" w:rsidRDefault="00C43E1C" w:rsidP="00C43E1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C43E1C">
        <w:rPr>
          <w:rFonts w:ascii="Garamond" w:hAnsi="Garamond" w:cs="Courier New"/>
          <w:sz w:val="24"/>
          <w:szCs w:val="24"/>
        </w:rPr>
        <w:t>Nestas circunstâncias, a atuação da demandada revela-se incompatível com as exigências de transparência, diligência e correção que devem pautar a atuação dos profissionais nas relações de consumo, constituindo uma violação dos deveres legais de informação e do princípio da boa-fé objetiva que deve presidir à execução dos contratos.</w:t>
      </w:r>
    </w:p>
    <w:p w14:paraId="36860F3E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9DA85C7" w14:textId="26F14FF6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  <w:r w:rsidRPr="003D34E5">
        <w:rPr>
          <w:rFonts w:ascii="Garamond" w:hAnsi="Garamond" w:cs="Courier New"/>
          <w:sz w:val="24"/>
          <w:szCs w:val="24"/>
        </w:rPr>
        <w:t xml:space="preserve">A cláusula contratual que consagra a renovação automática e sucessiva é, nula, nos termos do disposto no </w:t>
      </w:r>
      <w:r w:rsidRPr="003D34E5">
        <w:rPr>
          <w:rFonts w:ascii="Garamond" w:hAnsi="Garamond" w:cs="Courier New"/>
          <w:b/>
          <w:sz w:val="24"/>
          <w:szCs w:val="24"/>
        </w:rPr>
        <w:t>artigo 280.º/1</w:t>
      </w:r>
      <w:r w:rsidRPr="003D34E5">
        <w:rPr>
          <w:rFonts w:ascii="Garamond" w:hAnsi="Garamond" w:cs="Courier New"/>
          <w:sz w:val="24"/>
          <w:szCs w:val="24"/>
        </w:rPr>
        <w:t xml:space="preserve">, do Código Civil, por violação dos princípios e das normas consagrados nos </w:t>
      </w:r>
      <w:r w:rsidRPr="003D34E5">
        <w:rPr>
          <w:rFonts w:ascii="Garamond" w:hAnsi="Garamond" w:cs="Courier New"/>
          <w:b/>
          <w:sz w:val="24"/>
          <w:szCs w:val="24"/>
        </w:rPr>
        <w:t>artigos 3.º, 4.º</w:t>
      </w:r>
      <w:r w:rsidRPr="003D34E5">
        <w:rPr>
          <w:rFonts w:ascii="Garamond" w:hAnsi="Garamond" w:cs="Courier New"/>
          <w:sz w:val="24"/>
          <w:szCs w:val="24"/>
        </w:rPr>
        <w:t xml:space="preserve">, </w:t>
      </w:r>
      <w:r w:rsidRPr="003D34E5">
        <w:rPr>
          <w:rFonts w:ascii="Garamond" w:hAnsi="Garamond" w:cs="Courier New"/>
          <w:b/>
          <w:sz w:val="24"/>
          <w:szCs w:val="24"/>
        </w:rPr>
        <w:t>8.º</w:t>
      </w:r>
      <w:r w:rsidRPr="003D34E5">
        <w:rPr>
          <w:rFonts w:ascii="Garamond" w:hAnsi="Garamond" w:cs="Courier New"/>
          <w:sz w:val="24"/>
          <w:szCs w:val="24"/>
        </w:rPr>
        <w:t xml:space="preserve"> e </w:t>
      </w:r>
      <w:r w:rsidRPr="003D34E5">
        <w:rPr>
          <w:rFonts w:ascii="Garamond" w:hAnsi="Garamond" w:cs="Courier New"/>
          <w:b/>
          <w:sz w:val="24"/>
          <w:szCs w:val="24"/>
        </w:rPr>
        <w:t>9.º</w:t>
      </w:r>
      <w:r w:rsidRPr="003D34E5">
        <w:rPr>
          <w:rFonts w:ascii="Garamond" w:hAnsi="Garamond" w:cs="Courier New"/>
          <w:sz w:val="24"/>
          <w:szCs w:val="24"/>
        </w:rPr>
        <w:t xml:space="preserve"> da Lei n.º24/96, de 31/07, e dos </w:t>
      </w:r>
      <w:r w:rsidRPr="003D34E5">
        <w:rPr>
          <w:rFonts w:ascii="Garamond" w:hAnsi="Garamond" w:cs="Courier New"/>
          <w:b/>
          <w:sz w:val="24"/>
          <w:szCs w:val="24"/>
        </w:rPr>
        <w:t xml:space="preserve">artigos 5.º </w:t>
      </w:r>
      <w:r w:rsidRPr="003D34E5">
        <w:rPr>
          <w:rFonts w:ascii="Garamond" w:hAnsi="Garamond" w:cs="Courier New"/>
          <w:sz w:val="24"/>
          <w:szCs w:val="24"/>
        </w:rPr>
        <w:t>e</w:t>
      </w:r>
      <w:r w:rsidRPr="003D34E5">
        <w:rPr>
          <w:rFonts w:ascii="Garamond" w:hAnsi="Garamond" w:cs="Courier New"/>
          <w:b/>
          <w:sz w:val="24"/>
          <w:szCs w:val="24"/>
        </w:rPr>
        <w:t xml:space="preserve"> 6.º</w:t>
      </w:r>
      <w:r w:rsidRPr="003D34E5">
        <w:rPr>
          <w:rFonts w:ascii="Garamond" w:hAnsi="Garamond" w:cs="Courier New"/>
          <w:sz w:val="24"/>
          <w:szCs w:val="24"/>
        </w:rPr>
        <w:t>, do Decreto-Lei n.º446/85, de 25/10.</w:t>
      </w:r>
      <w:r w:rsidR="009C2A49">
        <w:rPr>
          <w:rFonts w:ascii="Garamond" w:hAnsi="Garamond" w:cs="Courier New"/>
          <w:sz w:val="24"/>
          <w:szCs w:val="24"/>
        </w:rPr>
        <w:t xml:space="preserve"> </w:t>
      </w:r>
      <w:r w:rsidRPr="003D34E5">
        <w:rPr>
          <w:rFonts w:ascii="Garamond" w:hAnsi="Garamond" w:cs="Courier New"/>
          <w:sz w:val="24"/>
          <w:szCs w:val="24"/>
        </w:rPr>
        <w:t xml:space="preserve">Considerando-se, por isso, excluída do contrato por força do </w:t>
      </w:r>
      <w:r w:rsidRPr="003D34E5">
        <w:rPr>
          <w:rFonts w:ascii="Garamond" w:hAnsi="Garamond" w:cs="Courier New"/>
          <w:b/>
          <w:sz w:val="24"/>
          <w:szCs w:val="24"/>
        </w:rPr>
        <w:t xml:space="preserve">disposto 8.º/alíneas a) </w:t>
      </w:r>
      <w:r w:rsidRPr="003D34E5">
        <w:rPr>
          <w:rFonts w:ascii="Garamond" w:hAnsi="Garamond" w:cs="Courier New"/>
          <w:sz w:val="24"/>
          <w:szCs w:val="24"/>
        </w:rPr>
        <w:t>e</w:t>
      </w:r>
      <w:r w:rsidRPr="003D34E5">
        <w:rPr>
          <w:rFonts w:ascii="Garamond" w:hAnsi="Garamond" w:cs="Courier New"/>
          <w:b/>
          <w:sz w:val="24"/>
          <w:szCs w:val="24"/>
        </w:rPr>
        <w:t xml:space="preserve"> b)</w:t>
      </w:r>
      <w:r w:rsidRPr="003D34E5">
        <w:rPr>
          <w:rFonts w:ascii="Garamond" w:hAnsi="Garamond" w:cs="Courier New"/>
          <w:sz w:val="24"/>
          <w:szCs w:val="24"/>
        </w:rPr>
        <w:t>, deste último diploma.</w:t>
      </w:r>
    </w:p>
    <w:p w14:paraId="2F4B0EAB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ourier New"/>
          <w:sz w:val="24"/>
          <w:szCs w:val="24"/>
        </w:rPr>
      </w:pPr>
    </w:p>
    <w:p w14:paraId="275230FC" w14:textId="7CDA5886" w:rsidR="00D010E4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  <w:r w:rsidRPr="003D34E5">
        <w:rPr>
          <w:rFonts w:ascii="Garamond" w:hAnsi="Garamond" w:cs="Arial"/>
          <w:sz w:val="24"/>
          <w:szCs w:val="24"/>
          <w:lang w:eastAsia="pt-PT"/>
        </w:rPr>
        <w:t>Confrontando o “direito” acabado de citar com a matéria de facto dada como provada este tribunal tem de reiterar a sua conclusão inicial, ou seja, que a atuação da demandada se revelou ilegal ao introduzir a cláusula de renovação automática e sucessiva sem o conhecimento e informação do demandante e ao omitir-lhe, inclusivamente, a existência dessa cláusula.</w:t>
      </w:r>
    </w:p>
    <w:p w14:paraId="04A8D803" w14:textId="77777777" w:rsidR="009C2A49" w:rsidRPr="003D34E5" w:rsidRDefault="009C2A49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</w:p>
    <w:p w14:paraId="172E0CCA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  <w:r w:rsidRPr="003D34E5">
        <w:rPr>
          <w:rFonts w:ascii="Garamond" w:hAnsi="Garamond" w:cs="Arial"/>
          <w:sz w:val="24"/>
          <w:szCs w:val="24"/>
          <w:lang w:eastAsia="pt-PT"/>
        </w:rPr>
        <w:t xml:space="preserve">Acresce que, sendo contrários à lei os termos e condições em que a cláusula de renovação automática e sucessiva foram introduzidas no contrato, a cláusula é nula nos termos do </w:t>
      </w:r>
      <w:r w:rsidRPr="003D34E5">
        <w:rPr>
          <w:rFonts w:ascii="Garamond" w:hAnsi="Garamond" w:cs="Arial"/>
          <w:b/>
          <w:sz w:val="24"/>
          <w:szCs w:val="24"/>
          <w:lang w:eastAsia="pt-PT"/>
        </w:rPr>
        <w:t>artigo 280.º/1</w:t>
      </w:r>
      <w:r w:rsidRPr="003D34E5">
        <w:rPr>
          <w:rFonts w:ascii="Garamond" w:hAnsi="Garamond" w:cs="Arial"/>
          <w:sz w:val="24"/>
          <w:szCs w:val="24"/>
          <w:lang w:eastAsia="pt-PT"/>
        </w:rPr>
        <w:t xml:space="preserve">, do Código Civil, que dispõe que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“1. É nulo o negócio jurídico cujo objeto seja física ou legalmente impossível, contrário à lei ou indeterminável.”</w:t>
      </w:r>
      <w:r w:rsidRPr="003D34E5">
        <w:rPr>
          <w:rFonts w:ascii="Garamond" w:hAnsi="Garamond" w:cs="Arial"/>
          <w:sz w:val="24"/>
          <w:szCs w:val="24"/>
          <w:lang w:eastAsia="pt-PT"/>
        </w:rPr>
        <w:t>.</w:t>
      </w:r>
    </w:p>
    <w:p w14:paraId="5CAD61AB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</w:p>
    <w:p w14:paraId="0288D77C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  <w:r w:rsidRPr="003D34E5">
        <w:rPr>
          <w:rFonts w:ascii="Garamond" w:hAnsi="Garamond" w:cs="Arial"/>
          <w:sz w:val="24"/>
          <w:szCs w:val="24"/>
          <w:lang w:eastAsia="pt-PT"/>
        </w:rPr>
        <w:lastRenderedPageBreak/>
        <w:t xml:space="preserve">Tal nulidade resultaria sempre, também, do disposto no </w:t>
      </w:r>
      <w:r w:rsidRPr="003D34E5">
        <w:rPr>
          <w:rFonts w:ascii="Garamond" w:hAnsi="Garamond" w:cs="Arial"/>
          <w:b/>
          <w:sz w:val="24"/>
          <w:szCs w:val="24"/>
          <w:lang w:eastAsia="pt-PT"/>
        </w:rPr>
        <w:t>artigo 294.º</w:t>
      </w:r>
      <w:r w:rsidRPr="003D34E5">
        <w:rPr>
          <w:rFonts w:ascii="Garamond" w:hAnsi="Garamond" w:cs="Arial"/>
          <w:sz w:val="24"/>
          <w:szCs w:val="24"/>
          <w:lang w:eastAsia="pt-PT"/>
        </w:rPr>
        <w:t xml:space="preserve">, do Código Civil, que sob a epígrafe </w:t>
      </w:r>
      <w:r w:rsidRPr="003D34E5">
        <w:rPr>
          <w:rFonts w:ascii="Garamond" w:hAnsi="Garamond" w:cs="Arial"/>
          <w:i/>
          <w:sz w:val="24"/>
          <w:szCs w:val="24"/>
          <w:lang w:eastAsia="pt-PT"/>
        </w:rPr>
        <w:t>“Negócios celebrados contra a lei”, consagra que a “Os negócios jurídicos celebrados contra a disposição legal de caráter imperativo são nulos, salvo nos casos em que outra solução resulte da lei.”</w:t>
      </w:r>
      <w:r w:rsidRPr="003D34E5">
        <w:rPr>
          <w:rFonts w:ascii="Garamond" w:hAnsi="Garamond" w:cs="Arial"/>
          <w:sz w:val="24"/>
          <w:szCs w:val="24"/>
          <w:lang w:eastAsia="pt-PT"/>
        </w:rPr>
        <w:t>.</w:t>
      </w:r>
    </w:p>
    <w:p w14:paraId="56BF54E9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</w:p>
    <w:p w14:paraId="05295694" w14:textId="6F8F42F0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  <w:r w:rsidRPr="003D34E5">
        <w:rPr>
          <w:rFonts w:ascii="Garamond" w:hAnsi="Garamond" w:cs="Arial"/>
          <w:sz w:val="24"/>
          <w:szCs w:val="24"/>
          <w:lang w:eastAsia="pt-PT"/>
        </w:rPr>
        <w:t xml:space="preserve">Revelando-se nula a cláusula de renovação automática e sucessiva e, por isso, excluída do contrato, nos termos acima expostos, o demandante não estaria obrigada a cumpri-la e, consequentemente, a permanecer vinculado ao contrato até </w:t>
      </w:r>
      <w:r w:rsidR="00C43E1C">
        <w:rPr>
          <w:rFonts w:ascii="Garamond" w:hAnsi="Garamond" w:cs="Arial"/>
          <w:sz w:val="24"/>
          <w:szCs w:val="24"/>
          <w:lang w:eastAsia="pt-PT"/>
        </w:rPr>
        <w:t xml:space="preserve">agosto de 2026 </w:t>
      </w:r>
      <w:r w:rsidRPr="003D34E5">
        <w:rPr>
          <w:rFonts w:ascii="Garamond" w:hAnsi="Garamond" w:cs="Arial"/>
          <w:sz w:val="24"/>
          <w:szCs w:val="24"/>
          <w:lang w:eastAsia="pt-PT"/>
        </w:rPr>
        <w:t xml:space="preserve">e ao pagamento das mensalidades do preço contratual até àquela data, pelo este tribunal arbitral conclui pela procedência total da ação, por provada, e pela condenação da demandada no pedido. </w:t>
      </w:r>
    </w:p>
    <w:p w14:paraId="1DEB0D69" w14:textId="77777777" w:rsidR="00D010E4" w:rsidRPr="003D34E5" w:rsidRDefault="00D010E4" w:rsidP="00D010E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  <w:lang w:eastAsia="pt-PT"/>
        </w:rPr>
      </w:pPr>
    </w:p>
    <w:p w14:paraId="5D6E3DF9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V. – Decisão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694C6893" w14:textId="6B016ED4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Assim, em face do exposto, </w:t>
      </w:r>
      <w:r w:rsidRPr="003D34E5">
        <w:rPr>
          <w:rFonts w:ascii="Garamond" w:eastAsia="Times New Roman" w:hAnsi="Garamond"/>
          <w:b/>
          <w:sz w:val="24"/>
          <w:szCs w:val="24"/>
          <w:highlight w:val="lightGray"/>
          <w:u w:val="single"/>
          <w:lang w:eastAsia="zh-CN"/>
        </w:rPr>
        <w:t>julgo totalmente procedente, por provada, a presente ação arbitral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e, consequentemente, </w:t>
      </w:r>
      <w:r w:rsidRPr="003D34E5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 xml:space="preserve">declarando a ilegalidade da atuação da demandada declaro a resolução do contrato e absolvo o demandante do pagamento de qualquer quantia à demandada a partir de </w:t>
      </w:r>
      <w:r w:rsidR="00E42450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>07-11</w:t>
      </w:r>
      <w:r w:rsidRPr="003D34E5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>-2025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tudo nos termos e com os efeitos previstos no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 1</w:t>
      </w:r>
      <w:r w:rsidR="009C2A49">
        <w:rPr>
          <w:rFonts w:ascii="Garamond" w:eastAsia="Times New Roman" w:hAnsi="Garamond"/>
          <w:b/>
          <w:sz w:val="24"/>
          <w:szCs w:val="24"/>
          <w:lang w:eastAsia="zh-CN"/>
        </w:rPr>
        <w:t>8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F5701" w:rsidRPr="003D34E5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3354B78E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412887E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VI. – Depósito da decisão arbitral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660B35AB" w14:textId="656F2178" w:rsidR="00D010E4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O valor da causa fixa-se, assim, em </w:t>
      </w:r>
      <w:r w:rsidRPr="003D34E5">
        <w:rPr>
          <w:rFonts w:ascii="Garamond" w:hAnsi="Garamond"/>
          <w:b/>
          <w:sz w:val="24"/>
          <w:szCs w:val="24"/>
          <w:u w:val="single"/>
        </w:rPr>
        <w:t>€</w:t>
      </w:r>
      <w:r w:rsidR="000D6FB0">
        <w:rPr>
          <w:rFonts w:ascii="Garamond" w:hAnsi="Garamond"/>
          <w:b/>
          <w:sz w:val="24"/>
          <w:szCs w:val="24"/>
          <w:u w:val="single"/>
        </w:rPr>
        <w:t>465,69</w:t>
      </w:r>
      <w:r w:rsidRPr="003D34E5">
        <w:rPr>
          <w:rFonts w:ascii="Garamond" w:hAnsi="Garamond"/>
          <w:b/>
          <w:sz w:val="24"/>
          <w:szCs w:val="24"/>
        </w:rPr>
        <w:t xml:space="preserve"> 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(</w:t>
      </w:r>
      <w:r w:rsidR="000D6FB0">
        <w:rPr>
          <w:rFonts w:ascii="Garamond" w:eastAsia="Times New Roman" w:hAnsi="Garamond"/>
          <w:sz w:val="24"/>
          <w:szCs w:val="24"/>
          <w:lang w:eastAsia="zh-CN"/>
        </w:rPr>
        <w:t>quatrocentos e sessenta e cinco euros e sessenta e nove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cêntimos), nos termos dos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artigos 296.º/1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e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297.º/1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ambos do CPC, por remissão do 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 xml:space="preserve">artigo </w:t>
      </w:r>
      <w:r w:rsidR="00646DBD">
        <w:rPr>
          <w:rFonts w:ascii="Garamond" w:eastAsia="Times New Roman" w:hAnsi="Garamond"/>
          <w:b/>
          <w:sz w:val="24"/>
          <w:szCs w:val="24"/>
          <w:lang w:eastAsia="zh-CN"/>
        </w:rPr>
        <w:t>27</w:t>
      </w: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.º</w:t>
      </w:r>
      <w:r w:rsidR="00646DBD">
        <w:rPr>
          <w:rFonts w:ascii="Garamond" w:eastAsia="Times New Roman" w:hAnsi="Garamond"/>
          <w:b/>
          <w:sz w:val="24"/>
          <w:szCs w:val="24"/>
          <w:lang w:eastAsia="zh-CN"/>
        </w:rPr>
        <w:t>/3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F5701" w:rsidRPr="003D34E5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para o Código de Processo Civil, com os fundamentos acima enunciados.</w:t>
      </w:r>
    </w:p>
    <w:p w14:paraId="63D28EED" w14:textId="77777777" w:rsidR="009C2A49" w:rsidRPr="003D34E5" w:rsidRDefault="009C2A49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716D08A" w14:textId="77EAC71A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u w:val="single"/>
          <w:lang w:eastAsia="zh-CN"/>
        </w:rPr>
        <w:t>Notifiquem-se as partes com cópia desta decisão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e </w:t>
      </w:r>
      <w:r w:rsidRPr="003D34E5">
        <w:rPr>
          <w:rFonts w:ascii="Garamond" w:eastAsia="Times New Roman" w:hAnsi="Garamond"/>
          <w:sz w:val="24"/>
          <w:szCs w:val="24"/>
          <w:u w:val="single"/>
          <w:lang w:eastAsia="zh-CN"/>
        </w:rPr>
        <w:t xml:space="preserve">deposite-se o seu original no </w:t>
      </w:r>
      <w:r w:rsidR="007F5701" w:rsidRPr="003D34E5">
        <w:rPr>
          <w:rFonts w:ascii="Garamond" w:eastAsia="Times New Roman" w:hAnsi="Garamond"/>
          <w:sz w:val="24"/>
          <w:szCs w:val="24"/>
          <w:u w:val="single"/>
          <w:lang w:eastAsia="zh-CN"/>
        </w:rPr>
        <w:t>CNIACC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nos termos do </w:t>
      </w:r>
      <w:r w:rsidRPr="009C2A49">
        <w:rPr>
          <w:rFonts w:ascii="Garamond" w:eastAsia="Times New Roman" w:hAnsi="Garamond"/>
          <w:b/>
          <w:bCs/>
          <w:sz w:val="24"/>
          <w:szCs w:val="24"/>
          <w:lang w:eastAsia="zh-CN"/>
        </w:rPr>
        <w:t xml:space="preserve">artigo </w:t>
      </w:r>
      <w:r w:rsidR="009C2A49">
        <w:rPr>
          <w:rFonts w:ascii="Garamond" w:eastAsia="Times New Roman" w:hAnsi="Garamond"/>
          <w:b/>
          <w:bCs/>
          <w:sz w:val="24"/>
          <w:szCs w:val="24"/>
          <w:lang w:eastAsia="zh-CN"/>
        </w:rPr>
        <w:t>18.º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 xml:space="preserve"> do referido regulamento.</w:t>
      </w:r>
    </w:p>
    <w:p w14:paraId="214B1BCC" w14:textId="77777777" w:rsidR="00D010E4" w:rsidRPr="003D34E5" w:rsidRDefault="00D010E4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9761688" w14:textId="589B246F" w:rsidR="00D010E4" w:rsidRPr="003D34E5" w:rsidRDefault="009C2A49" w:rsidP="00D010E4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b/>
          <w:sz w:val="24"/>
          <w:szCs w:val="24"/>
          <w:lang w:eastAsia="zh-CN"/>
        </w:rPr>
        <w:t>Braga</w:t>
      </w:r>
      <w:r w:rsidR="00D010E4" w:rsidRPr="003D34E5">
        <w:rPr>
          <w:rFonts w:ascii="Garamond" w:eastAsia="Times New Roman" w:hAnsi="Garamond"/>
          <w:sz w:val="24"/>
          <w:szCs w:val="24"/>
          <w:lang w:eastAsia="zh-CN"/>
        </w:rPr>
        <w:t xml:space="preserve">, </w:t>
      </w:r>
      <w:r>
        <w:rPr>
          <w:rFonts w:ascii="Garamond" w:eastAsia="Times New Roman" w:hAnsi="Garamond"/>
          <w:sz w:val="24"/>
          <w:szCs w:val="24"/>
          <w:u w:val="single"/>
          <w:lang w:eastAsia="zh-CN"/>
        </w:rPr>
        <w:t>29-07-2026</w:t>
      </w:r>
      <w:r w:rsidR="00D010E4" w:rsidRPr="003D34E5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224B4CCE" w14:textId="77777777" w:rsidR="00D010E4" w:rsidRPr="003D34E5" w:rsidRDefault="00D010E4" w:rsidP="00D010E4">
      <w:pPr>
        <w:suppressAutoHyphens/>
        <w:spacing w:after="0" w:line="360" w:lineRule="auto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b/>
          <w:sz w:val="24"/>
          <w:szCs w:val="24"/>
          <w:lang w:eastAsia="zh-CN"/>
        </w:rPr>
        <w:t>O Árbitro</w:t>
      </w:r>
      <w:r w:rsidRPr="003D34E5">
        <w:rPr>
          <w:rFonts w:ascii="Garamond" w:eastAsia="Times New Roman" w:hAnsi="Garamond"/>
          <w:sz w:val="24"/>
          <w:szCs w:val="24"/>
          <w:lang w:eastAsia="zh-CN"/>
        </w:rPr>
        <w:t>,</w:t>
      </w:r>
    </w:p>
    <w:p w14:paraId="3DCE35CE" w14:textId="77777777" w:rsidR="00D010E4" w:rsidRPr="003D34E5" w:rsidRDefault="00D010E4" w:rsidP="00D010E4">
      <w:pPr>
        <w:suppressAutoHyphens/>
        <w:spacing w:after="0" w:line="360" w:lineRule="auto"/>
        <w:rPr>
          <w:rFonts w:ascii="Garamond" w:eastAsia="Times New Roman" w:hAnsi="Garamond"/>
          <w:sz w:val="24"/>
          <w:szCs w:val="24"/>
          <w:lang w:eastAsia="zh-CN"/>
        </w:rPr>
      </w:pPr>
      <w:r w:rsidRPr="003D34E5">
        <w:rPr>
          <w:rFonts w:ascii="Garamond" w:eastAsia="Times New Roman" w:hAnsi="Garamond"/>
          <w:sz w:val="24"/>
          <w:szCs w:val="24"/>
          <w:lang w:eastAsia="zh-CN"/>
        </w:rPr>
        <w:t>Alexandre Maciel,</w:t>
      </w:r>
    </w:p>
    <w:p w14:paraId="2AF2F7CE" w14:textId="5E136AAB" w:rsidR="00D010E4" w:rsidRPr="003D34E5" w:rsidRDefault="00D010E4" w:rsidP="00D010E4">
      <w:pPr>
        <w:suppressAutoHyphens/>
        <w:spacing w:after="0" w:line="360" w:lineRule="auto"/>
        <w:rPr>
          <w:rFonts w:ascii="Garamond" w:eastAsia="Times New Roman" w:hAnsi="Garamond"/>
          <w:sz w:val="24"/>
          <w:szCs w:val="24"/>
          <w:lang w:eastAsia="zh-CN"/>
        </w:rPr>
      </w:pPr>
    </w:p>
    <w:p w14:paraId="461956C1" w14:textId="77777777" w:rsidR="00D010E4" w:rsidRPr="003D34E5" w:rsidRDefault="00D010E4" w:rsidP="00D010E4">
      <w:pPr>
        <w:spacing w:line="360" w:lineRule="auto"/>
        <w:jc w:val="center"/>
        <w:rPr>
          <w:rFonts w:ascii="Garamond" w:hAnsi="Garamond"/>
          <w:sz w:val="24"/>
          <w:szCs w:val="24"/>
        </w:rPr>
      </w:pPr>
    </w:p>
    <w:sectPr w:rsidR="00D010E4" w:rsidRPr="003D34E5" w:rsidSect="00E85648">
      <w:headerReference w:type="default" r:id="rId7"/>
      <w:footerReference w:type="default" r:id="rId8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DCE49" w14:textId="77777777" w:rsidR="000B6537" w:rsidRDefault="000B6537" w:rsidP="00EE7A5E">
      <w:pPr>
        <w:spacing w:after="0" w:line="240" w:lineRule="auto"/>
      </w:pPr>
      <w:r>
        <w:separator/>
      </w:r>
    </w:p>
  </w:endnote>
  <w:endnote w:type="continuationSeparator" w:id="0">
    <w:p w14:paraId="1C15F517" w14:textId="77777777" w:rsidR="000B6537" w:rsidRDefault="000B6537" w:rsidP="00EE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0AA0" w14:textId="77777777" w:rsidR="00EE7A5E" w:rsidRDefault="00EE7A5E">
    <w:pPr>
      <w:pStyle w:val="Rodap"/>
    </w:pPr>
  </w:p>
  <w:p w14:paraId="67AC5F8F" w14:textId="77777777" w:rsidR="00EE7A5E" w:rsidRDefault="00EE7A5E">
    <w:pPr>
      <w:pStyle w:val="Rodap"/>
    </w:pPr>
  </w:p>
  <w:p w14:paraId="5ADADD12" w14:textId="77777777" w:rsidR="005A00B4" w:rsidRPr="004D1A71" w:rsidRDefault="005A00B4" w:rsidP="005A00B4">
    <w:pPr>
      <w:pStyle w:val="Rodap"/>
      <w:jc w:val="center"/>
      <w:rPr>
        <w:b/>
      </w:rPr>
    </w:pPr>
    <w:r w:rsidRPr="004D1A71">
      <w:rPr>
        <w:b/>
      </w:rPr>
      <w:t xml:space="preserve">CNIACC – Centro </w:t>
    </w:r>
    <w:r>
      <w:rPr>
        <w:b/>
      </w:rPr>
      <w:t xml:space="preserve">Nacional de Informação </w:t>
    </w:r>
    <w:r w:rsidRPr="004D1A71">
      <w:rPr>
        <w:b/>
      </w:rPr>
      <w:t xml:space="preserve">e Arbitragem de </w:t>
    </w:r>
    <w:r>
      <w:rPr>
        <w:b/>
      </w:rPr>
      <w:t xml:space="preserve">Conflitos de </w:t>
    </w:r>
    <w:r w:rsidRPr="004D1A71">
      <w:rPr>
        <w:b/>
      </w:rPr>
      <w:t>Consumo</w:t>
    </w:r>
  </w:p>
  <w:p w14:paraId="195FD980" w14:textId="77777777" w:rsidR="005A00B4" w:rsidRDefault="005A00B4" w:rsidP="005A00B4">
    <w:pPr>
      <w:pStyle w:val="Rodap"/>
      <w:jc w:val="center"/>
    </w:pPr>
    <w:r>
      <w:t>Rua D. Afonso Henriques, nº 1  4700 – 030 Braga</w:t>
    </w:r>
  </w:p>
  <w:p w14:paraId="0D27D4CD" w14:textId="77777777" w:rsidR="005A00B4" w:rsidRDefault="005A00B4" w:rsidP="005A00B4">
    <w:pPr>
      <w:pStyle w:val="Rodap"/>
      <w:jc w:val="center"/>
    </w:pPr>
    <w:r>
      <w:t>Tl:253 619 </w:t>
    </w:r>
    <w:r w:rsidR="003F23EA">
      <w:t>1</w:t>
    </w:r>
    <w:r>
      <w:t>07       Email: geral</w:t>
    </w:r>
    <w:r>
      <w:rPr>
        <w:rFonts w:cstheme="minorHAnsi"/>
      </w:rPr>
      <w:t>@</w:t>
    </w:r>
    <w:r>
      <w:t>cniacc.pt</w:t>
    </w:r>
  </w:p>
  <w:p w14:paraId="4C1B7305" w14:textId="77777777" w:rsidR="005A00B4" w:rsidRDefault="005A00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A64A" w14:textId="77777777" w:rsidR="000B6537" w:rsidRDefault="000B6537" w:rsidP="00EE7A5E">
      <w:pPr>
        <w:spacing w:after="0" w:line="240" w:lineRule="auto"/>
      </w:pPr>
      <w:r>
        <w:separator/>
      </w:r>
    </w:p>
  </w:footnote>
  <w:footnote w:type="continuationSeparator" w:id="0">
    <w:p w14:paraId="72A95A72" w14:textId="77777777" w:rsidR="000B6537" w:rsidRDefault="000B6537" w:rsidP="00EE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384A" w14:textId="68CC9BD7" w:rsidR="00EE7A5E" w:rsidRDefault="00122DA2">
    <w:pPr>
      <w:pStyle w:val="Cabealho"/>
    </w:pPr>
    <w:r w:rsidRPr="00401C6A">
      <w:rPr>
        <w:noProof/>
      </w:rPr>
      <w:drawing>
        <wp:anchor distT="0" distB="0" distL="114300" distR="114300" simplePos="0" relativeHeight="251660288" behindDoc="0" locked="0" layoutInCell="1" allowOverlap="1" wp14:anchorId="14918812" wp14:editId="00292569">
          <wp:simplePos x="0" y="0"/>
          <wp:positionH relativeFrom="column">
            <wp:posOffset>4825365</wp:posOffset>
          </wp:positionH>
          <wp:positionV relativeFrom="paragraph">
            <wp:posOffset>-442279</wp:posOffset>
          </wp:positionV>
          <wp:extent cx="1409618" cy="777240"/>
          <wp:effectExtent l="0" t="0" r="635" b="3810"/>
          <wp:wrapSquare wrapText="bothSides"/>
          <wp:docPr id="35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618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9BF0B2F" wp14:editId="7FC0365E">
          <wp:simplePos x="0" y="0"/>
          <wp:positionH relativeFrom="column">
            <wp:posOffset>-899160</wp:posOffset>
          </wp:positionH>
          <wp:positionV relativeFrom="paragraph">
            <wp:posOffset>-354330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323" y="497"/>
              <wp:lineTo x="633" y="6455"/>
              <wp:lineTo x="0" y="11421"/>
              <wp:lineTo x="0" y="13903"/>
              <wp:lineTo x="3640" y="21352"/>
              <wp:lineTo x="4431" y="21352"/>
              <wp:lineTo x="4589" y="21352"/>
              <wp:lineTo x="6013" y="16386"/>
              <wp:lineTo x="21521" y="15393"/>
              <wp:lineTo x="21521" y="993"/>
              <wp:lineTo x="6013" y="0"/>
              <wp:lineTo x="4431" y="0"/>
            </wp:wrapPolygon>
          </wp:wrapTight>
          <wp:docPr id="36" name="Imagem 36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37FF"/>
    <w:multiLevelType w:val="hybridMultilevel"/>
    <w:tmpl w:val="6BBEF8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812"/>
    <w:multiLevelType w:val="hybridMultilevel"/>
    <w:tmpl w:val="BCCEB1FA"/>
    <w:lvl w:ilvl="0" w:tplc="D1F2D9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E7221"/>
    <w:multiLevelType w:val="hybridMultilevel"/>
    <w:tmpl w:val="B5DADB04"/>
    <w:lvl w:ilvl="0" w:tplc="C89CBB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14916"/>
    <w:multiLevelType w:val="hybridMultilevel"/>
    <w:tmpl w:val="2ACEA5D8"/>
    <w:lvl w:ilvl="0" w:tplc="ED4AEA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720C0"/>
    <w:multiLevelType w:val="hybridMultilevel"/>
    <w:tmpl w:val="588EC556"/>
    <w:lvl w:ilvl="0" w:tplc="0B50518E">
      <w:start w:val="1"/>
      <w:numFmt w:val="decimal"/>
      <w:lvlText w:val="%1."/>
      <w:lvlJc w:val="left"/>
      <w:pPr>
        <w:ind w:left="578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1EEA1DF5"/>
    <w:multiLevelType w:val="hybridMultilevel"/>
    <w:tmpl w:val="B4C46E42"/>
    <w:lvl w:ilvl="0" w:tplc="0816000F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4" w:hanging="360"/>
      </w:pPr>
    </w:lvl>
    <w:lvl w:ilvl="2" w:tplc="0816001B" w:tentative="1">
      <w:start w:val="1"/>
      <w:numFmt w:val="lowerRoman"/>
      <w:lvlText w:val="%3."/>
      <w:lvlJc w:val="right"/>
      <w:pPr>
        <w:ind w:left="666" w:hanging="180"/>
      </w:pPr>
    </w:lvl>
    <w:lvl w:ilvl="3" w:tplc="0816000F" w:tentative="1">
      <w:start w:val="1"/>
      <w:numFmt w:val="decimal"/>
      <w:lvlText w:val="%4."/>
      <w:lvlJc w:val="left"/>
      <w:pPr>
        <w:ind w:left="1386" w:hanging="360"/>
      </w:pPr>
    </w:lvl>
    <w:lvl w:ilvl="4" w:tplc="08160019" w:tentative="1">
      <w:start w:val="1"/>
      <w:numFmt w:val="lowerLetter"/>
      <w:lvlText w:val="%5."/>
      <w:lvlJc w:val="left"/>
      <w:pPr>
        <w:ind w:left="2106" w:hanging="360"/>
      </w:pPr>
    </w:lvl>
    <w:lvl w:ilvl="5" w:tplc="0816001B" w:tentative="1">
      <w:start w:val="1"/>
      <w:numFmt w:val="lowerRoman"/>
      <w:lvlText w:val="%6."/>
      <w:lvlJc w:val="right"/>
      <w:pPr>
        <w:ind w:left="2826" w:hanging="180"/>
      </w:pPr>
    </w:lvl>
    <w:lvl w:ilvl="6" w:tplc="0816000F" w:tentative="1">
      <w:start w:val="1"/>
      <w:numFmt w:val="decimal"/>
      <w:lvlText w:val="%7."/>
      <w:lvlJc w:val="left"/>
      <w:pPr>
        <w:ind w:left="3546" w:hanging="360"/>
      </w:pPr>
    </w:lvl>
    <w:lvl w:ilvl="7" w:tplc="08160019" w:tentative="1">
      <w:start w:val="1"/>
      <w:numFmt w:val="lowerLetter"/>
      <w:lvlText w:val="%8."/>
      <w:lvlJc w:val="left"/>
      <w:pPr>
        <w:ind w:left="4266" w:hanging="360"/>
      </w:pPr>
    </w:lvl>
    <w:lvl w:ilvl="8" w:tplc="08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08416C9"/>
    <w:multiLevelType w:val="hybridMultilevel"/>
    <w:tmpl w:val="A5B800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D2250"/>
    <w:multiLevelType w:val="hybridMultilevel"/>
    <w:tmpl w:val="055E517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65B80"/>
    <w:multiLevelType w:val="hybridMultilevel"/>
    <w:tmpl w:val="92B4965A"/>
    <w:lvl w:ilvl="0" w:tplc="8928421C">
      <w:start w:val="1"/>
      <w:numFmt w:val="decimal"/>
      <w:lvlText w:val="%1."/>
      <w:lvlJc w:val="left"/>
      <w:pPr>
        <w:ind w:left="-774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-54" w:hanging="360"/>
      </w:pPr>
    </w:lvl>
    <w:lvl w:ilvl="2" w:tplc="0816001B" w:tentative="1">
      <w:start w:val="1"/>
      <w:numFmt w:val="lowerRoman"/>
      <w:lvlText w:val="%3."/>
      <w:lvlJc w:val="right"/>
      <w:pPr>
        <w:ind w:left="666" w:hanging="180"/>
      </w:pPr>
    </w:lvl>
    <w:lvl w:ilvl="3" w:tplc="0816000F" w:tentative="1">
      <w:start w:val="1"/>
      <w:numFmt w:val="decimal"/>
      <w:lvlText w:val="%4."/>
      <w:lvlJc w:val="left"/>
      <w:pPr>
        <w:ind w:left="1386" w:hanging="360"/>
      </w:pPr>
    </w:lvl>
    <w:lvl w:ilvl="4" w:tplc="08160019" w:tentative="1">
      <w:start w:val="1"/>
      <w:numFmt w:val="lowerLetter"/>
      <w:lvlText w:val="%5."/>
      <w:lvlJc w:val="left"/>
      <w:pPr>
        <w:ind w:left="2106" w:hanging="360"/>
      </w:pPr>
    </w:lvl>
    <w:lvl w:ilvl="5" w:tplc="0816001B" w:tentative="1">
      <w:start w:val="1"/>
      <w:numFmt w:val="lowerRoman"/>
      <w:lvlText w:val="%6."/>
      <w:lvlJc w:val="right"/>
      <w:pPr>
        <w:ind w:left="2826" w:hanging="180"/>
      </w:pPr>
    </w:lvl>
    <w:lvl w:ilvl="6" w:tplc="0816000F" w:tentative="1">
      <w:start w:val="1"/>
      <w:numFmt w:val="decimal"/>
      <w:lvlText w:val="%7."/>
      <w:lvlJc w:val="left"/>
      <w:pPr>
        <w:ind w:left="3546" w:hanging="360"/>
      </w:pPr>
    </w:lvl>
    <w:lvl w:ilvl="7" w:tplc="08160019" w:tentative="1">
      <w:start w:val="1"/>
      <w:numFmt w:val="lowerLetter"/>
      <w:lvlText w:val="%8."/>
      <w:lvlJc w:val="left"/>
      <w:pPr>
        <w:ind w:left="4266" w:hanging="360"/>
      </w:pPr>
    </w:lvl>
    <w:lvl w:ilvl="8" w:tplc="08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9" w15:restartNumberingAfterBreak="0">
    <w:nsid w:val="34BC5E8D"/>
    <w:multiLevelType w:val="hybridMultilevel"/>
    <w:tmpl w:val="8C2CEF98"/>
    <w:lvl w:ilvl="0" w:tplc="198ECEE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4575D3"/>
    <w:multiLevelType w:val="hybridMultilevel"/>
    <w:tmpl w:val="0EA4EF2C"/>
    <w:lvl w:ilvl="0" w:tplc="274A9A2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75771"/>
    <w:multiLevelType w:val="hybridMultilevel"/>
    <w:tmpl w:val="A718B4E4"/>
    <w:lvl w:ilvl="0" w:tplc="1BDE68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02157"/>
    <w:multiLevelType w:val="hybridMultilevel"/>
    <w:tmpl w:val="87A8A646"/>
    <w:lvl w:ilvl="0" w:tplc="4BFC63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95EDF"/>
    <w:multiLevelType w:val="hybridMultilevel"/>
    <w:tmpl w:val="5156A724"/>
    <w:lvl w:ilvl="0" w:tplc="9D2E6A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A6DBC"/>
    <w:multiLevelType w:val="hybridMultilevel"/>
    <w:tmpl w:val="DCBA8D6C"/>
    <w:lvl w:ilvl="0" w:tplc="9340663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83571"/>
    <w:multiLevelType w:val="hybridMultilevel"/>
    <w:tmpl w:val="7DD0F28E"/>
    <w:lvl w:ilvl="0" w:tplc="F530B512">
      <w:start w:val="1"/>
      <w:numFmt w:val="decimal"/>
      <w:lvlText w:val="%1."/>
      <w:lvlJc w:val="left"/>
      <w:pPr>
        <w:ind w:left="7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684C67F6"/>
    <w:multiLevelType w:val="hybridMultilevel"/>
    <w:tmpl w:val="DB7268D8"/>
    <w:lvl w:ilvl="0" w:tplc="7DF8107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D86D2B"/>
    <w:multiLevelType w:val="hybridMultilevel"/>
    <w:tmpl w:val="8762417E"/>
    <w:lvl w:ilvl="0" w:tplc="FEC2FC8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9031F0"/>
    <w:multiLevelType w:val="hybridMultilevel"/>
    <w:tmpl w:val="862CA53A"/>
    <w:lvl w:ilvl="0" w:tplc="345629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11FF7"/>
    <w:multiLevelType w:val="hybridMultilevel"/>
    <w:tmpl w:val="91CE01D2"/>
    <w:lvl w:ilvl="0" w:tplc="2864F3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C408E"/>
    <w:multiLevelType w:val="hybridMultilevel"/>
    <w:tmpl w:val="A5B8002A"/>
    <w:lvl w:ilvl="0" w:tplc="A7ACDF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028260">
    <w:abstractNumId w:val="3"/>
  </w:num>
  <w:num w:numId="2" w16cid:durableId="545291779">
    <w:abstractNumId w:val="0"/>
  </w:num>
  <w:num w:numId="3" w16cid:durableId="17180436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1483398">
    <w:abstractNumId w:val="7"/>
  </w:num>
  <w:num w:numId="5" w16cid:durableId="441806139">
    <w:abstractNumId w:val="13"/>
  </w:num>
  <w:num w:numId="6" w16cid:durableId="1788624246">
    <w:abstractNumId w:val="5"/>
  </w:num>
  <w:num w:numId="7" w16cid:durableId="1925215714">
    <w:abstractNumId w:val="8"/>
  </w:num>
  <w:num w:numId="8" w16cid:durableId="265818062">
    <w:abstractNumId w:val="2"/>
  </w:num>
  <w:num w:numId="9" w16cid:durableId="935552156">
    <w:abstractNumId w:val="1"/>
  </w:num>
  <w:num w:numId="10" w16cid:durableId="5690060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3605903">
    <w:abstractNumId w:val="9"/>
  </w:num>
  <w:num w:numId="12" w16cid:durableId="32659051">
    <w:abstractNumId w:val="18"/>
  </w:num>
  <w:num w:numId="13" w16cid:durableId="1073890253">
    <w:abstractNumId w:val="16"/>
  </w:num>
  <w:num w:numId="14" w16cid:durableId="1497304765">
    <w:abstractNumId w:val="19"/>
  </w:num>
  <w:num w:numId="15" w16cid:durableId="840125528">
    <w:abstractNumId w:val="17"/>
  </w:num>
  <w:num w:numId="16" w16cid:durableId="1914699910">
    <w:abstractNumId w:val="15"/>
  </w:num>
  <w:num w:numId="17" w16cid:durableId="775752983">
    <w:abstractNumId w:val="12"/>
  </w:num>
  <w:num w:numId="18" w16cid:durableId="85927772">
    <w:abstractNumId w:val="20"/>
  </w:num>
  <w:num w:numId="19" w16cid:durableId="1479153991">
    <w:abstractNumId w:val="4"/>
  </w:num>
  <w:num w:numId="20" w16cid:durableId="1353459915">
    <w:abstractNumId w:val="6"/>
  </w:num>
  <w:num w:numId="21" w16cid:durableId="425591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1198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879780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5952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847084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5E"/>
    <w:rsid w:val="0000146B"/>
    <w:rsid w:val="00027EFB"/>
    <w:rsid w:val="000609A0"/>
    <w:rsid w:val="00063921"/>
    <w:rsid w:val="00067704"/>
    <w:rsid w:val="0008071B"/>
    <w:rsid w:val="000841F4"/>
    <w:rsid w:val="000848B6"/>
    <w:rsid w:val="000A21C8"/>
    <w:rsid w:val="000A6CBF"/>
    <w:rsid w:val="000A79FC"/>
    <w:rsid w:val="000B2E2C"/>
    <w:rsid w:val="000B6537"/>
    <w:rsid w:val="000C155F"/>
    <w:rsid w:val="000D6FB0"/>
    <w:rsid w:val="000F093D"/>
    <w:rsid w:val="000F49D1"/>
    <w:rsid w:val="001063F0"/>
    <w:rsid w:val="00106D19"/>
    <w:rsid w:val="00122DA2"/>
    <w:rsid w:val="001314C8"/>
    <w:rsid w:val="00145982"/>
    <w:rsid w:val="00156967"/>
    <w:rsid w:val="00160FA2"/>
    <w:rsid w:val="0017084D"/>
    <w:rsid w:val="00173F61"/>
    <w:rsid w:val="001754CF"/>
    <w:rsid w:val="00177493"/>
    <w:rsid w:val="00184D5F"/>
    <w:rsid w:val="00195050"/>
    <w:rsid w:val="001A016E"/>
    <w:rsid w:val="001A36B4"/>
    <w:rsid w:val="001C2D9E"/>
    <w:rsid w:val="001D4D1D"/>
    <w:rsid w:val="001F4CDE"/>
    <w:rsid w:val="001F75FD"/>
    <w:rsid w:val="00201EA6"/>
    <w:rsid w:val="00210B98"/>
    <w:rsid w:val="002142A3"/>
    <w:rsid w:val="00220CB3"/>
    <w:rsid w:val="002534BD"/>
    <w:rsid w:val="002539C0"/>
    <w:rsid w:val="002544FC"/>
    <w:rsid w:val="0025545B"/>
    <w:rsid w:val="00266F49"/>
    <w:rsid w:val="00283373"/>
    <w:rsid w:val="00291CA1"/>
    <w:rsid w:val="00292017"/>
    <w:rsid w:val="002A4E4C"/>
    <w:rsid w:val="002B0446"/>
    <w:rsid w:val="002B0B9A"/>
    <w:rsid w:val="002B3281"/>
    <w:rsid w:val="002C0AD6"/>
    <w:rsid w:val="002D53FF"/>
    <w:rsid w:val="002F5F43"/>
    <w:rsid w:val="002F6CA3"/>
    <w:rsid w:val="00321950"/>
    <w:rsid w:val="00323B07"/>
    <w:rsid w:val="0032643B"/>
    <w:rsid w:val="00344C30"/>
    <w:rsid w:val="00352F8F"/>
    <w:rsid w:val="00353B10"/>
    <w:rsid w:val="00355F29"/>
    <w:rsid w:val="00357ACC"/>
    <w:rsid w:val="00364EB0"/>
    <w:rsid w:val="00372DDF"/>
    <w:rsid w:val="00373FFC"/>
    <w:rsid w:val="00381D89"/>
    <w:rsid w:val="003856F0"/>
    <w:rsid w:val="003932DE"/>
    <w:rsid w:val="003B10EE"/>
    <w:rsid w:val="003B44A8"/>
    <w:rsid w:val="003B4545"/>
    <w:rsid w:val="003B78A9"/>
    <w:rsid w:val="003C42F2"/>
    <w:rsid w:val="003C4D9A"/>
    <w:rsid w:val="003D34E5"/>
    <w:rsid w:val="003D4370"/>
    <w:rsid w:val="003F23EA"/>
    <w:rsid w:val="003F5080"/>
    <w:rsid w:val="00401C6A"/>
    <w:rsid w:val="00406985"/>
    <w:rsid w:val="004143D5"/>
    <w:rsid w:val="00414826"/>
    <w:rsid w:val="00427E0E"/>
    <w:rsid w:val="004322F5"/>
    <w:rsid w:val="00455E0A"/>
    <w:rsid w:val="0046274B"/>
    <w:rsid w:val="0046474B"/>
    <w:rsid w:val="00465D22"/>
    <w:rsid w:val="0046728D"/>
    <w:rsid w:val="004819B9"/>
    <w:rsid w:val="00482D07"/>
    <w:rsid w:val="00487CA4"/>
    <w:rsid w:val="004924AE"/>
    <w:rsid w:val="00496749"/>
    <w:rsid w:val="004C28E7"/>
    <w:rsid w:val="004C3E87"/>
    <w:rsid w:val="004C52AA"/>
    <w:rsid w:val="004D7382"/>
    <w:rsid w:val="004E612E"/>
    <w:rsid w:val="004E701A"/>
    <w:rsid w:val="004E748D"/>
    <w:rsid w:val="004F220D"/>
    <w:rsid w:val="005049F9"/>
    <w:rsid w:val="005079A6"/>
    <w:rsid w:val="00517B66"/>
    <w:rsid w:val="00534827"/>
    <w:rsid w:val="0054445D"/>
    <w:rsid w:val="00552E12"/>
    <w:rsid w:val="00555B75"/>
    <w:rsid w:val="00557AC6"/>
    <w:rsid w:val="00563D35"/>
    <w:rsid w:val="00567986"/>
    <w:rsid w:val="00570D6F"/>
    <w:rsid w:val="00572DFC"/>
    <w:rsid w:val="0059359B"/>
    <w:rsid w:val="005A00B4"/>
    <w:rsid w:val="005B39CB"/>
    <w:rsid w:val="005C2509"/>
    <w:rsid w:val="005D0E05"/>
    <w:rsid w:val="005D47E1"/>
    <w:rsid w:val="005E5340"/>
    <w:rsid w:val="005F058B"/>
    <w:rsid w:val="00600828"/>
    <w:rsid w:val="00612E71"/>
    <w:rsid w:val="00614213"/>
    <w:rsid w:val="006222B1"/>
    <w:rsid w:val="00631FA0"/>
    <w:rsid w:val="00637245"/>
    <w:rsid w:val="00646DBD"/>
    <w:rsid w:val="0067261A"/>
    <w:rsid w:val="00681042"/>
    <w:rsid w:val="006A140E"/>
    <w:rsid w:val="006A2AF4"/>
    <w:rsid w:val="006A5F08"/>
    <w:rsid w:val="006B3313"/>
    <w:rsid w:val="006B4B59"/>
    <w:rsid w:val="006B7254"/>
    <w:rsid w:val="006B7E2B"/>
    <w:rsid w:val="006D7B3D"/>
    <w:rsid w:val="006E0F7A"/>
    <w:rsid w:val="00700A75"/>
    <w:rsid w:val="00702267"/>
    <w:rsid w:val="00704FCD"/>
    <w:rsid w:val="007054CA"/>
    <w:rsid w:val="00706BF0"/>
    <w:rsid w:val="00717998"/>
    <w:rsid w:val="00733275"/>
    <w:rsid w:val="007407E4"/>
    <w:rsid w:val="007422D3"/>
    <w:rsid w:val="007569B3"/>
    <w:rsid w:val="00756A2D"/>
    <w:rsid w:val="00761B3F"/>
    <w:rsid w:val="00762EEA"/>
    <w:rsid w:val="00766672"/>
    <w:rsid w:val="00775F05"/>
    <w:rsid w:val="00776511"/>
    <w:rsid w:val="00793486"/>
    <w:rsid w:val="007959EF"/>
    <w:rsid w:val="007D3128"/>
    <w:rsid w:val="007E0F8D"/>
    <w:rsid w:val="007F166F"/>
    <w:rsid w:val="007F5701"/>
    <w:rsid w:val="007F5A78"/>
    <w:rsid w:val="00802183"/>
    <w:rsid w:val="00806940"/>
    <w:rsid w:val="00810055"/>
    <w:rsid w:val="0081739C"/>
    <w:rsid w:val="00820DAF"/>
    <w:rsid w:val="0085136A"/>
    <w:rsid w:val="00855069"/>
    <w:rsid w:val="00871907"/>
    <w:rsid w:val="008864F0"/>
    <w:rsid w:val="00890FC3"/>
    <w:rsid w:val="008A3510"/>
    <w:rsid w:val="008B7D57"/>
    <w:rsid w:val="008F40B9"/>
    <w:rsid w:val="009141C2"/>
    <w:rsid w:val="00921E51"/>
    <w:rsid w:val="00926F15"/>
    <w:rsid w:val="00933BBB"/>
    <w:rsid w:val="009344C0"/>
    <w:rsid w:val="00940520"/>
    <w:rsid w:val="00942C13"/>
    <w:rsid w:val="00956BE9"/>
    <w:rsid w:val="009709EB"/>
    <w:rsid w:val="00971DAD"/>
    <w:rsid w:val="009C2A49"/>
    <w:rsid w:val="009D141B"/>
    <w:rsid w:val="009F5601"/>
    <w:rsid w:val="009F691D"/>
    <w:rsid w:val="00A00117"/>
    <w:rsid w:val="00A04DD4"/>
    <w:rsid w:val="00A050DD"/>
    <w:rsid w:val="00A13CD1"/>
    <w:rsid w:val="00A31EC8"/>
    <w:rsid w:val="00A85BD9"/>
    <w:rsid w:val="00A9258D"/>
    <w:rsid w:val="00AA1F30"/>
    <w:rsid w:val="00AA3FA1"/>
    <w:rsid w:val="00AB7318"/>
    <w:rsid w:val="00AC023D"/>
    <w:rsid w:val="00AC358D"/>
    <w:rsid w:val="00AC6C11"/>
    <w:rsid w:val="00AD5358"/>
    <w:rsid w:val="00B022D3"/>
    <w:rsid w:val="00B04CC0"/>
    <w:rsid w:val="00B11DE8"/>
    <w:rsid w:val="00B301A6"/>
    <w:rsid w:val="00B31513"/>
    <w:rsid w:val="00B3730D"/>
    <w:rsid w:val="00B42E16"/>
    <w:rsid w:val="00B45954"/>
    <w:rsid w:val="00B6124A"/>
    <w:rsid w:val="00B62E5A"/>
    <w:rsid w:val="00B65C94"/>
    <w:rsid w:val="00B95A36"/>
    <w:rsid w:val="00BA736B"/>
    <w:rsid w:val="00BC6B5C"/>
    <w:rsid w:val="00BF0250"/>
    <w:rsid w:val="00BF227D"/>
    <w:rsid w:val="00BF3F89"/>
    <w:rsid w:val="00C0164F"/>
    <w:rsid w:val="00C0186F"/>
    <w:rsid w:val="00C0226A"/>
    <w:rsid w:val="00C20034"/>
    <w:rsid w:val="00C20A62"/>
    <w:rsid w:val="00C22CEA"/>
    <w:rsid w:val="00C27EB3"/>
    <w:rsid w:val="00C30203"/>
    <w:rsid w:val="00C338B5"/>
    <w:rsid w:val="00C37477"/>
    <w:rsid w:val="00C41245"/>
    <w:rsid w:val="00C43E1C"/>
    <w:rsid w:val="00C80AAB"/>
    <w:rsid w:val="00C824FE"/>
    <w:rsid w:val="00C94F83"/>
    <w:rsid w:val="00CB3648"/>
    <w:rsid w:val="00CB5F6B"/>
    <w:rsid w:val="00CC154C"/>
    <w:rsid w:val="00CC1AC9"/>
    <w:rsid w:val="00CC2EB1"/>
    <w:rsid w:val="00CC53FA"/>
    <w:rsid w:val="00CE1EA3"/>
    <w:rsid w:val="00D010E4"/>
    <w:rsid w:val="00D11A97"/>
    <w:rsid w:val="00D16A5F"/>
    <w:rsid w:val="00D25019"/>
    <w:rsid w:val="00D3729C"/>
    <w:rsid w:val="00D3730C"/>
    <w:rsid w:val="00D61093"/>
    <w:rsid w:val="00D62430"/>
    <w:rsid w:val="00D66462"/>
    <w:rsid w:val="00D807EF"/>
    <w:rsid w:val="00D82336"/>
    <w:rsid w:val="00D94EA7"/>
    <w:rsid w:val="00DB1CA8"/>
    <w:rsid w:val="00DB2C48"/>
    <w:rsid w:val="00DC3A6A"/>
    <w:rsid w:val="00DE50C8"/>
    <w:rsid w:val="00DF70A2"/>
    <w:rsid w:val="00DF77C0"/>
    <w:rsid w:val="00E070A8"/>
    <w:rsid w:val="00E21803"/>
    <w:rsid w:val="00E32719"/>
    <w:rsid w:val="00E34AF5"/>
    <w:rsid w:val="00E42450"/>
    <w:rsid w:val="00E42602"/>
    <w:rsid w:val="00E46586"/>
    <w:rsid w:val="00E50223"/>
    <w:rsid w:val="00E52C67"/>
    <w:rsid w:val="00E56230"/>
    <w:rsid w:val="00E619AC"/>
    <w:rsid w:val="00E805A8"/>
    <w:rsid w:val="00E85648"/>
    <w:rsid w:val="00E94E7A"/>
    <w:rsid w:val="00EC75B1"/>
    <w:rsid w:val="00ED519A"/>
    <w:rsid w:val="00ED62FE"/>
    <w:rsid w:val="00EE07FD"/>
    <w:rsid w:val="00EE35B5"/>
    <w:rsid w:val="00EE7A5E"/>
    <w:rsid w:val="00EF0426"/>
    <w:rsid w:val="00EF3AC0"/>
    <w:rsid w:val="00EF502E"/>
    <w:rsid w:val="00F0366A"/>
    <w:rsid w:val="00F6591B"/>
    <w:rsid w:val="00F77AF4"/>
    <w:rsid w:val="00F96F34"/>
    <w:rsid w:val="00FA22B3"/>
    <w:rsid w:val="00FB5CF3"/>
    <w:rsid w:val="00FB6AA7"/>
    <w:rsid w:val="00FC2712"/>
    <w:rsid w:val="00FD3FC6"/>
    <w:rsid w:val="00FF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91FC2"/>
  <w15:chartTrackingRefBased/>
  <w15:docId w15:val="{EFDB6E6E-C7CA-48B6-BE95-B713000F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D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EE7A5E"/>
  </w:style>
  <w:style w:type="paragraph" w:styleId="Rodap">
    <w:name w:val="footer"/>
    <w:basedOn w:val="Normal"/>
    <w:link w:val="Rodap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E7A5E"/>
  </w:style>
  <w:style w:type="paragraph" w:customStyle="1" w:styleId="Default">
    <w:name w:val="Default"/>
    <w:qFormat/>
    <w:rsid w:val="00122DA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122DA2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122DA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PargrafodaLista">
    <w:name w:val="List Paragraph"/>
    <w:basedOn w:val="Normal"/>
    <w:uiPriority w:val="34"/>
    <w:qFormat/>
    <w:rsid w:val="002C0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6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3716</Words>
  <Characters>20067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CNIACC Tribunal Arbitral de Consumo</cp:lastModifiedBy>
  <cp:revision>3</cp:revision>
  <cp:lastPrinted>2026-08-03T10:40:00Z</cp:lastPrinted>
  <dcterms:created xsi:type="dcterms:W3CDTF">2026-08-03T10:40:00Z</dcterms:created>
  <dcterms:modified xsi:type="dcterms:W3CDTF">2026-08-13T14:29:00Z</dcterms:modified>
</cp:coreProperties>
</file>